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4C" w:rsidRDefault="00F4453A">
      <w:pPr>
        <w:spacing w:line="44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1</w:t>
      </w:r>
    </w:p>
    <w:p w:rsidR="00EA0C4C" w:rsidRDefault="00F4453A">
      <w:pPr>
        <w:spacing w:line="520" w:lineRule="exact"/>
        <w:jc w:val="center"/>
        <w:rPr>
          <w:rStyle w:val="2Char"/>
          <w:rFonts w:ascii="仿宋" w:eastAsia="仿宋" w:hAnsi="仿宋" w:cs="仿宋"/>
          <w:b w:val="0"/>
          <w:sz w:val="44"/>
          <w:szCs w:val="44"/>
        </w:rPr>
      </w:pPr>
      <w:r>
        <w:rPr>
          <w:rStyle w:val="2Char"/>
          <w:rFonts w:ascii="仿宋" w:eastAsia="仿宋" w:hAnsi="仿宋" w:cs="仿宋" w:hint="eastAsia"/>
          <w:b w:val="0"/>
          <w:sz w:val="44"/>
          <w:szCs w:val="44"/>
        </w:rPr>
        <w:t>本次检验项目</w:t>
      </w:r>
    </w:p>
    <w:p w:rsidR="00EA0C4C" w:rsidRDefault="00F4453A">
      <w:pPr>
        <w:spacing w:line="44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餐饮食品</w:t>
      </w:r>
    </w:p>
    <w:p w:rsidR="00EA0C4C" w:rsidRDefault="00F4453A">
      <w:pPr>
        <w:spacing w:line="440" w:lineRule="exact"/>
        <w:ind w:firstLineChars="200" w:firstLine="643"/>
        <w:jc w:val="left"/>
        <w:rPr>
          <w:rFonts w:ascii="仿宋" w:eastAsia="仿宋" w:hAnsi="仿宋" w:cs="仿宋"/>
          <w:b/>
          <w:bCs/>
          <w:sz w:val="32"/>
          <w:szCs w:val="32"/>
        </w:rPr>
      </w:pPr>
      <w:r>
        <w:rPr>
          <w:rFonts w:ascii="仿宋" w:eastAsia="仿宋" w:hAnsi="仿宋" w:cs="仿宋" w:hint="eastAsia"/>
          <w:b/>
          <w:sz w:val="32"/>
          <w:szCs w:val="32"/>
        </w:rPr>
        <w:t>（一）</w:t>
      </w:r>
      <w:r>
        <w:rPr>
          <w:rFonts w:ascii="仿宋" w:eastAsia="仿宋" w:hAnsi="仿宋" w:cs="仿宋" w:hint="eastAsia"/>
          <w:b/>
          <w:bCs/>
          <w:sz w:val="32"/>
          <w:szCs w:val="32"/>
        </w:rPr>
        <w:t>抽检依据</w:t>
      </w:r>
      <w:r>
        <w:rPr>
          <w:rFonts w:ascii="仿宋" w:eastAsia="仿宋" w:hAnsi="仿宋" w:cs="仿宋" w:hint="eastAsia"/>
          <w:b/>
          <w:bCs/>
          <w:sz w:val="32"/>
          <w:szCs w:val="32"/>
        </w:rPr>
        <w:t xml:space="preserve"> </w:t>
      </w:r>
    </w:p>
    <w:p w:rsidR="00EA0C4C" w:rsidRDefault="00F4453A">
      <w:pPr>
        <w:spacing w:line="440" w:lineRule="exact"/>
        <w:ind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）、中华人民共和国卫生部、国家食品药品监督管理局公告</w:t>
      </w:r>
      <w:r>
        <w:rPr>
          <w:rFonts w:ascii="仿宋" w:eastAsia="仿宋" w:hAnsi="仿宋" w:cs="仿宋" w:hint="eastAsia"/>
          <w:sz w:val="32"/>
          <w:szCs w:val="32"/>
        </w:rPr>
        <w:t>2012</w:t>
      </w:r>
      <w:r>
        <w:rPr>
          <w:rFonts w:ascii="仿宋" w:eastAsia="仿宋" w:hAnsi="仿宋" w:cs="仿宋" w:hint="eastAsia"/>
          <w:sz w:val="32"/>
          <w:szCs w:val="32"/>
        </w:rPr>
        <w:t>年第</w:t>
      </w:r>
      <w:r>
        <w:rPr>
          <w:rFonts w:ascii="仿宋" w:eastAsia="仿宋" w:hAnsi="仿宋" w:cs="仿宋" w:hint="eastAsia"/>
          <w:sz w:val="32"/>
          <w:szCs w:val="32"/>
        </w:rPr>
        <w:t>10</w:t>
      </w:r>
      <w:r>
        <w:rPr>
          <w:rFonts w:ascii="仿宋" w:eastAsia="仿宋" w:hAnsi="仿宋" w:cs="仿宋" w:hint="eastAsia"/>
          <w:sz w:val="32"/>
          <w:szCs w:val="32"/>
        </w:rPr>
        <w:t>号等标准及产品明示标准和指标的要求。</w:t>
      </w:r>
    </w:p>
    <w:p w:rsidR="00EA0C4C" w:rsidRDefault="00F4453A">
      <w:pPr>
        <w:spacing w:line="440" w:lineRule="exact"/>
        <w:ind w:firstLine="640"/>
        <w:rPr>
          <w:rFonts w:ascii="仿宋" w:eastAsia="仿宋" w:hAnsi="仿宋" w:cs="仿宋"/>
          <w:b/>
          <w:bCs/>
          <w:sz w:val="32"/>
          <w:szCs w:val="32"/>
        </w:rPr>
      </w:pPr>
      <w:r>
        <w:rPr>
          <w:rFonts w:ascii="仿宋" w:eastAsia="仿宋" w:hAnsi="仿宋" w:cs="仿宋" w:hint="eastAsia"/>
          <w:b/>
          <w:bCs/>
          <w:sz w:val="32"/>
          <w:szCs w:val="32"/>
        </w:rPr>
        <w:t>（二）检验项目</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发酵面</w:t>
      </w:r>
      <w:r>
        <w:rPr>
          <w:rFonts w:ascii="仿宋" w:eastAsia="仿宋" w:hAnsi="仿宋" w:cs="仿宋" w:hint="eastAsia"/>
          <w:sz w:val="32"/>
          <w:szCs w:val="32"/>
        </w:rPr>
        <w:t>制品抽检项目包括铝的残留量</w:t>
      </w:r>
      <w:r>
        <w:rPr>
          <w:rFonts w:ascii="仿宋" w:eastAsia="仿宋" w:hAnsi="仿宋" w:cs="仿宋" w:hint="eastAsia"/>
          <w:sz w:val="32"/>
          <w:szCs w:val="32"/>
        </w:rPr>
        <w:t>(</w:t>
      </w:r>
      <w:r>
        <w:rPr>
          <w:rFonts w:ascii="仿宋" w:eastAsia="仿宋" w:hAnsi="仿宋" w:cs="仿宋" w:hint="eastAsia"/>
          <w:sz w:val="32"/>
          <w:szCs w:val="32"/>
        </w:rPr>
        <w:t>干样品，以</w:t>
      </w:r>
      <w:r>
        <w:rPr>
          <w:rFonts w:ascii="仿宋" w:eastAsia="仿宋" w:hAnsi="仿宋" w:cs="仿宋" w:hint="eastAsia"/>
          <w:sz w:val="32"/>
          <w:szCs w:val="32"/>
        </w:rPr>
        <w:t>Al</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油炸面制品</w:t>
      </w:r>
      <w:r>
        <w:rPr>
          <w:rFonts w:ascii="仿宋" w:eastAsia="仿宋" w:hAnsi="仿宋" w:cs="仿宋" w:hint="eastAsia"/>
          <w:sz w:val="32"/>
          <w:szCs w:val="32"/>
        </w:rPr>
        <w:t>抽检项目包括铝的残留量（干样品，以</w:t>
      </w:r>
      <w:r>
        <w:rPr>
          <w:rFonts w:ascii="仿宋" w:eastAsia="仿宋" w:hAnsi="仿宋" w:cs="仿宋" w:hint="eastAsia"/>
          <w:sz w:val="32"/>
          <w:szCs w:val="32"/>
        </w:rPr>
        <w:t>Al</w:t>
      </w:r>
      <w:r>
        <w:rPr>
          <w:rFonts w:ascii="仿宋" w:eastAsia="仿宋" w:hAnsi="仿宋" w:cs="仿宋" w:hint="eastAsia"/>
          <w:sz w:val="32"/>
          <w:szCs w:val="32"/>
        </w:rPr>
        <w:t>计）</w:t>
      </w:r>
      <w:r>
        <w:rPr>
          <w:rFonts w:ascii="仿宋" w:eastAsia="仿宋" w:hAnsi="仿宋" w:cs="仿宋" w:hint="eastAsia"/>
          <w:sz w:val="32"/>
          <w:szCs w:val="32"/>
        </w:rPr>
        <w:t>。</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酱卤肉制品（自制）</w:t>
      </w:r>
      <w:r>
        <w:rPr>
          <w:rFonts w:ascii="仿宋" w:eastAsia="仿宋" w:hAnsi="仿宋" w:cs="仿宋" w:hint="eastAsia"/>
          <w:sz w:val="32"/>
          <w:szCs w:val="32"/>
        </w:rPr>
        <w:t>抽检项目包括苯甲酸及其钠盐（以苯甲酸计）、亚硝酸盐（以亚硝酸钠计）。</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熟肉食品抽检项目包括亚硝酸盐（以亚硝酸钠计）。</w:t>
      </w:r>
    </w:p>
    <w:p w:rsidR="00EA0C4C" w:rsidRDefault="00F4453A">
      <w:pPr>
        <w:spacing w:line="4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三、食用农产品</w:t>
      </w:r>
    </w:p>
    <w:p w:rsidR="00EA0C4C" w:rsidRDefault="00F4453A">
      <w:pPr>
        <w:spacing w:line="4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（一）抽检依据</w:t>
      </w:r>
      <w:r>
        <w:rPr>
          <w:rFonts w:ascii="仿宋" w:eastAsia="仿宋" w:hAnsi="仿宋" w:cs="仿宋" w:hint="eastAsia"/>
          <w:b/>
          <w:bCs/>
          <w:sz w:val="32"/>
          <w:szCs w:val="32"/>
        </w:rPr>
        <w:t xml:space="preserve"> </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抽检依据</w:t>
      </w:r>
      <w:r>
        <w:rPr>
          <w:rFonts w:ascii="仿宋" w:eastAsia="仿宋" w:hAnsi="仿宋" w:cs="仿宋" w:hint="eastAsia"/>
          <w:sz w:val="32"/>
          <w:szCs w:val="32"/>
        </w:rPr>
        <w:t>GB 2761-2017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食品中真菌毒素限量》</w:t>
      </w:r>
      <w:r>
        <w:rPr>
          <w:rFonts w:ascii="仿宋" w:eastAsia="仿宋" w:hAnsi="仿宋" w:cs="仿宋" w:hint="eastAsia"/>
          <w:sz w:val="32"/>
          <w:szCs w:val="32"/>
        </w:rPr>
        <w:t>,GB 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2763-2016</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食品中农药最大残留限量》</w:t>
      </w:r>
      <w:r>
        <w:rPr>
          <w:rFonts w:ascii="仿宋" w:eastAsia="仿宋" w:hAnsi="仿宋" w:cs="仿宋" w:hint="eastAsia"/>
          <w:sz w:val="32"/>
          <w:szCs w:val="32"/>
        </w:rPr>
        <w:t>、国家食品药品监督管理总局农业部国家卫生和计划生育委员会关于豆芽生产过程中禁止使用</w:t>
      </w:r>
      <w:r>
        <w:rPr>
          <w:rFonts w:ascii="仿宋" w:eastAsia="仿宋" w:hAnsi="仿宋" w:cs="仿宋" w:hint="eastAsia"/>
          <w:sz w:val="32"/>
          <w:szCs w:val="32"/>
        </w:rPr>
        <w:t>6-</w:t>
      </w:r>
      <w:r>
        <w:rPr>
          <w:rFonts w:ascii="仿宋" w:eastAsia="仿宋" w:hAnsi="仿宋" w:cs="仿宋" w:hint="eastAsia"/>
          <w:sz w:val="32"/>
          <w:szCs w:val="32"/>
        </w:rPr>
        <w:t>苄基腺嘌呤等物质的公告（</w:t>
      </w:r>
      <w:r>
        <w:rPr>
          <w:rFonts w:ascii="仿宋" w:eastAsia="仿宋" w:hAnsi="仿宋" w:cs="仿宋" w:hint="eastAsia"/>
          <w:sz w:val="32"/>
          <w:szCs w:val="32"/>
        </w:rPr>
        <w:t>2015</w:t>
      </w:r>
      <w:r>
        <w:rPr>
          <w:rFonts w:ascii="仿宋" w:eastAsia="仿宋" w:hAnsi="仿宋" w:cs="仿宋" w:hint="eastAsia"/>
          <w:sz w:val="32"/>
          <w:szCs w:val="32"/>
        </w:rPr>
        <w:t>年第</w:t>
      </w:r>
      <w:r>
        <w:rPr>
          <w:rFonts w:ascii="仿宋" w:eastAsia="仿宋" w:hAnsi="仿宋" w:cs="仿宋" w:hint="eastAsia"/>
          <w:sz w:val="32"/>
          <w:szCs w:val="32"/>
        </w:rPr>
        <w:t>11</w:t>
      </w:r>
      <w:r>
        <w:rPr>
          <w:rFonts w:ascii="仿宋" w:eastAsia="仿宋" w:hAnsi="仿宋" w:cs="仿宋" w:hint="eastAsia"/>
          <w:sz w:val="32"/>
          <w:szCs w:val="32"/>
        </w:rPr>
        <w:t>号）、中华人民共和国农业部公告第</w:t>
      </w:r>
      <w:r>
        <w:rPr>
          <w:rFonts w:ascii="仿宋" w:eastAsia="仿宋" w:hAnsi="仿宋" w:cs="仿宋" w:hint="eastAsia"/>
          <w:sz w:val="32"/>
          <w:szCs w:val="32"/>
        </w:rPr>
        <w:t>2292</w:t>
      </w:r>
      <w:r>
        <w:rPr>
          <w:rFonts w:ascii="仿宋" w:eastAsia="仿宋" w:hAnsi="仿宋" w:cs="仿宋" w:hint="eastAsia"/>
          <w:sz w:val="32"/>
          <w:szCs w:val="32"/>
        </w:rPr>
        <w:t>号《发布在食品动物中停止使用洛美沙星、培氟沙星、氧氟沙星、诺氟沙星</w:t>
      </w:r>
      <w:r>
        <w:rPr>
          <w:rFonts w:ascii="仿宋" w:eastAsia="仿宋" w:hAnsi="仿宋" w:cs="仿宋" w:hint="eastAsia"/>
          <w:sz w:val="32"/>
          <w:szCs w:val="32"/>
        </w:rPr>
        <w:t>4</w:t>
      </w:r>
      <w:r>
        <w:rPr>
          <w:rFonts w:ascii="仿宋" w:eastAsia="仿宋" w:hAnsi="仿宋" w:cs="仿宋" w:hint="eastAsia"/>
          <w:sz w:val="32"/>
          <w:szCs w:val="32"/>
        </w:rPr>
        <w:t>种兽药的决定》</w:t>
      </w:r>
      <w:r>
        <w:rPr>
          <w:rFonts w:ascii="仿宋" w:eastAsia="仿宋" w:hAnsi="仿宋" w:cs="仿宋" w:hint="eastAsia"/>
          <w:sz w:val="32"/>
          <w:szCs w:val="32"/>
        </w:rPr>
        <w:t>,</w:t>
      </w:r>
      <w:r>
        <w:rPr>
          <w:rFonts w:ascii="仿宋" w:eastAsia="仿宋" w:hAnsi="仿宋" w:cs="仿宋" w:hint="eastAsia"/>
          <w:sz w:val="32"/>
          <w:szCs w:val="32"/>
        </w:rPr>
        <w:t>中华人民共和国农业部公告第</w:t>
      </w:r>
      <w:r>
        <w:rPr>
          <w:rFonts w:ascii="仿宋" w:eastAsia="仿宋" w:hAnsi="仿宋" w:cs="仿宋" w:hint="eastAsia"/>
          <w:sz w:val="32"/>
          <w:szCs w:val="32"/>
        </w:rPr>
        <w:t>235</w:t>
      </w:r>
      <w:r>
        <w:rPr>
          <w:rFonts w:ascii="仿宋" w:eastAsia="仿宋" w:hAnsi="仿宋" w:cs="仿宋" w:hint="eastAsia"/>
          <w:sz w:val="32"/>
          <w:szCs w:val="32"/>
        </w:rPr>
        <w:t>号《动物性食品中兽药最高残留限量》、整顿办函〔</w:t>
      </w:r>
      <w:r>
        <w:rPr>
          <w:rFonts w:ascii="仿宋" w:eastAsia="仿宋" w:hAnsi="仿宋" w:cs="仿宋" w:hint="eastAsia"/>
          <w:sz w:val="32"/>
          <w:szCs w:val="32"/>
        </w:rPr>
        <w:t>2010</w:t>
      </w:r>
      <w:r>
        <w:rPr>
          <w:rFonts w:ascii="仿宋" w:eastAsia="仿宋" w:hAnsi="仿宋" w:cs="仿宋" w:hint="eastAsia"/>
          <w:sz w:val="32"/>
          <w:szCs w:val="32"/>
        </w:rPr>
        <w:t>〕</w:t>
      </w:r>
      <w:r>
        <w:rPr>
          <w:rFonts w:ascii="仿宋" w:eastAsia="仿宋" w:hAnsi="仿宋" w:cs="仿宋" w:hint="eastAsia"/>
          <w:sz w:val="32"/>
          <w:szCs w:val="32"/>
        </w:rPr>
        <w:t>50</w:t>
      </w:r>
      <w:r>
        <w:rPr>
          <w:rFonts w:ascii="仿宋" w:eastAsia="仿宋" w:hAnsi="仿宋" w:cs="仿宋" w:hint="eastAsia"/>
          <w:sz w:val="32"/>
          <w:szCs w:val="32"/>
        </w:rPr>
        <w:t>号</w:t>
      </w:r>
      <w:r>
        <w:rPr>
          <w:rFonts w:ascii="仿宋" w:eastAsia="仿宋" w:hAnsi="仿宋" w:cs="仿宋" w:hint="eastAsia"/>
          <w:sz w:val="32"/>
          <w:szCs w:val="32"/>
        </w:rPr>
        <w:t>,GB 22556-2008</w:t>
      </w:r>
      <w:r>
        <w:rPr>
          <w:rFonts w:ascii="仿宋" w:eastAsia="仿宋" w:hAnsi="仿宋" w:cs="仿宋" w:hint="eastAsia"/>
          <w:sz w:val="32"/>
          <w:szCs w:val="32"/>
        </w:rPr>
        <w:t>《豆芽卫生标准》</w:t>
      </w:r>
      <w:r>
        <w:rPr>
          <w:rFonts w:ascii="仿宋" w:eastAsia="仿宋" w:hAnsi="仿宋" w:cs="仿宋" w:hint="eastAsia"/>
          <w:sz w:val="32"/>
          <w:szCs w:val="32"/>
        </w:rPr>
        <w:t>等标准及产品明示标准和指标的要求。</w:t>
      </w:r>
    </w:p>
    <w:p w:rsidR="00EA0C4C" w:rsidRDefault="00F4453A">
      <w:pPr>
        <w:spacing w:line="440" w:lineRule="exact"/>
        <w:ind w:firstLineChars="196" w:firstLine="630"/>
        <w:rPr>
          <w:rFonts w:ascii="仿宋" w:eastAsia="仿宋" w:hAnsi="仿宋" w:cs="仿宋"/>
          <w:b/>
          <w:sz w:val="32"/>
          <w:szCs w:val="32"/>
        </w:rPr>
      </w:pPr>
      <w:r>
        <w:rPr>
          <w:rFonts w:ascii="仿宋" w:eastAsia="仿宋" w:hAnsi="仿宋" w:cs="仿宋" w:hint="eastAsia"/>
          <w:b/>
          <w:sz w:val="32"/>
          <w:szCs w:val="32"/>
        </w:rPr>
        <w:t>（二）检验项目</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猪肉抽检项目包括氯霉素，克伦特罗，沙丁胺醇，恩诺沙星与环丙沙星之和，</w:t>
      </w:r>
      <w:r>
        <w:rPr>
          <w:rFonts w:ascii="仿宋" w:eastAsia="仿宋" w:hAnsi="仿宋" w:cs="仿宋" w:hint="eastAsia"/>
          <w:sz w:val="32"/>
          <w:szCs w:val="32"/>
        </w:rPr>
        <w:t>莱克多巴胺。</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豆类抽检项目包括铅（以</w:t>
      </w:r>
      <w:r>
        <w:rPr>
          <w:rFonts w:ascii="仿宋" w:eastAsia="仿宋" w:hAnsi="仿宋" w:cs="仿宋" w:hint="eastAsia"/>
          <w:sz w:val="32"/>
          <w:szCs w:val="32"/>
        </w:rPr>
        <w:t>Pb</w:t>
      </w:r>
      <w:r>
        <w:rPr>
          <w:rFonts w:ascii="仿宋" w:eastAsia="仿宋" w:hAnsi="仿宋" w:cs="仿宋" w:hint="eastAsia"/>
          <w:sz w:val="32"/>
          <w:szCs w:val="32"/>
        </w:rPr>
        <w:t>计）、镉（以</w:t>
      </w:r>
      <w:r>
        <w:rPr>
          <w:rFonts w:ascii="仿宋" w:eastAsia="仿宋" w:hAnsi="仿宋" w:cs="仿宋" w:hint="eastAsia"/>
          <w:sz w:val="32"/>
          <w:szCs w:val="32"/>
        </w:rPr>
        <w:t>Cd</w:t>
      </w:r>
      <w:r>
        <w:rPr>
          <w:rFonts w:ascii="仿宋" w:eastAsia="仿宋" w:hAnsi="仿宋" w:cs="仿宋" w:hint="eastAsia"/>
          <w:sz w:val="32"/>
          <w:szCs w:val="32"/>
        </w:rPr>
        <w:t>计）、铬（以</w:t>
      </w:r>
      <w:r>
        <w:rPr>
          <w:rFonts w:ascii="仿宋" w:eastAsia="仿宋" w:hAnsi="仿宋" w:cs="仿宋" w:hint="eastAsia"/>
          <w:sz w:val="32"/>
          <w:szCs w:val="32"/>
        </w:rPr>
        <w:t>Cr</w:t>
      </w:r>
      <w:r>
        <w:rPr>
          <w:rFonts w:ascii="仿宋" w:eastAsia="仿宋" w:hAnsi="仿宋" w:cs="仿宋" w:hint="eastAsia"/>
          <w:sz w:val="32"/>
          <w:szCs w:val="32"/>
        </w:rPr>
        <w:t>计）、赭曲霉毒素</w:t>
      </w:r>
      <w:r>
        <w:rPr>
          <w:rFonts w:ascii="仿宋" w:eastAsia="仿宋" w:hAnsi="仿宋" w:cs="仿宋" w:hint="eastAsia"/>
          <w:sz w:val="32"/>
          <w:szCs w:val="32"/>
        </w:rPr>
        <w:t>A</w:t>
      </w:r>
      <w:r>
        <w:rPr>
          <w:rFonts w:ascii="仿宋" w:eastAsia="仿宋" w:hAnsi="仿宋" w:cs="仿宋" w:hint="eastAsia"/>
          <w:sz w:val="32"/>
          <w:szCs w:val="32"/>
        </w:rPr>
        <w:t>、对硫磷、马拉硫磷、甲基异柳磷。</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鸡蛋抽检项目包括恩诺沙星（以恩诺沙星与环丙沙星之和计）、氯霉素、氟苯尼考、氧氟沙星。</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黄瓜（瓜类蔬菜）抽检项目包括甲胺磷、克百威、氧乐果。</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辣椒（茄果类蔬菜）抽检项目包括克百威、氧乐果、</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番茄（茄果类蔬菜）抽检项目包括克百威、氧乐果。</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豆芽抽检项目包括铅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氯苯氧乙酸钠</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4-</w:t>
      </w:r>
      <w:r>
        <w:rPr>
          <w:rFonts w:ascii="仿宋" w:eastAsia="仿宋" w:hAnsi="仿宋" w:cs="仿宋" w:hint="eastAsia"/>
          <w:sz w:val="32"/>
          <w:szCs w:val="32"/>
        </w:rPr>
        <w:t>氯苯氧乙酸计</w:t>
      </w:r>
      <w:r>
        <w:rPr>
          <w:rFonts w:ascii="仿宋" w:eastAsia="仿宋" w:hAnsi="仿宋" w:cs="仿宋" w:hint="eastAsia"/>
          <w:sz w:val="32"/>
          <w:szCs w:val="32"/>
        </w:rPr>
        <w:t>)</w:t>
      </w:r>
      <w:r>
        <w:rPr>
          <w:rFonts w:ascii="仿宋" w:eastAsia="仿宋" w:hAnsi="仿宋" w:cs="仿宋" w:hint="eastAsia"/>
          <w:sz w:val="32"/>
          <w:szCs w:val="32"/>
        </w:rPr>
        <w:t>，亚硫酸盐</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SO</w:t>
      </w:r>
      <w:r>
        <w:rPr>
          <w:rFonts w:ascii="仿宋" w:eastAsia="仿宋" w:hAnsi="仿宋" w:cs="仿宋" w:hint="eastAsia"/>
          <w:sz w:val="32"/>
          <w:szCs w:val="32"/>
        </w:rPr>
        <w:t>₂计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苄基腺嘌呤</w:t>
      </w:r>
      <w:r>
        <w:rPr>
          <w:rFonts w:ascii="仿宋" w:eastAsia="仿宋" w:hAnsi="仿宋" w:cs="仿宋" w:hint="eastAsia"/>
          <w:sz w:val="32"/>
          <w:szCs w:val="32"/>
        </w:rPr>
        <w:t>(6-BA)</w:t>
      </w:r>
      <w:r>
        <w:rPr>
          <w:rFonts w:ascii="仿宋" w:eastAsia="仿宋" w:hAnsi="仿宋" w:cs="仿宋" w:hint="eastAsia"/>
          <w:sz w:val="32"/>
          <w:szCs w:val="32"/>
        </w:rPr>
        <w:t>。</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豇豆（豆类蔬菜）抽检项目包括灭蝇胺、氧乐果、克百威、水胺硫磷、氟虫腈。</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油麦菜（叶菜类蔬菜）抽检项目包括氟虫腈、氧乐果、克百威。</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山药（根茎类和薯芋类蔬菜）抽检项目包括甲胺磷、克百威、氧乐果。</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花椰菜抽检项目包括氧乐果、克百威、甲萘威</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普通白菜抽检项目包括啶虫脒、毒死蜱、氟虫腈、克百威、氧乐果。</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茄子（茄果类蔬菜）抽检项目包括氧乐果、克百威。</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热带及亚热带类（香蕉）抽检项目包括多菌灵、吡唑醚菌酯。</w:t>
      </w:r>
    </w:p>
    <w:p w:rsidR="00EA0C4C" w:rsidRDefault="00F4453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仁果类、核果类、浆果和其他小粒水果抽检项目包括氧乐果、甲胺磷、联苯</w:t>
      </w:r>
      <w:r>
        <w:rPr>
          <w:rFonts w:ascii="仿宋" w:eastAsia="仿宋" w:hAnsi="仿宋" w:cs="仿宋" w:hint="eastAsia"/>
          <w:sz w:val="32"/>
          <w:szCs w:val="32"/>
        </w:rPr>
        <w:t>菊酯、毒死蜱、克百威、多菌灵。</w:t>
      </w:r>
    </w:p>
    <w:sectPr w:rsidR="00EA0C4C" w:rsidSect="00EA0C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1EF54DB"/>
    <w:rsid w:val="002355A6"/>
    <w:rsid w:val="00514126"/>
    <w:rsid w:val="00EA0C4C"/>
    <w:rsid w:val="00F4453A"/>
    <w:rsid w:val="094C5F82"/>
    <w:rsid w:val="0A0768F4"/>
    <w:rsid w:val="0BD20106"/>
    <w:rsid w:val="0DD112E6"/>
    <w:rsid w:val="11A06DA1"/>
    <w:rsid w:val="11EF54DB"/>
    <w:rsid w:val="1272412C"/>
    <w:rsid w:val="128F2827"/>
    <w:rsid w:val="13397B1B"/>
    <w:rsid w:val="17AF5633"/>
    <w:rsid w:val="1C06627A"/>
    <w:rsid w:val="1EAC3910"/>
    <w:rsid w:val="202C7DB3"/>
    <w:rsid w:val="29122663"/>
    <w:rsid w:val="2F164198"/>
    <w:rsid w:val="2FD94FD4"/>
    <w:rsid w:val="33284E7B"/>
    <w:rsid w:val="3AAF0323"/>
    <w:rsid w:val="3FFD1D3A"/>
    <w:rsid w:val="41DB2843"/>
    <w:rsid w:val="441F5C49"/>
    <w:rsid w:val="454B7BC7"/>
    <w:rsid w:val="463B2D4C"/>
    <w:rsid w:val="474E0BDD"/>
    <w:rsid w:val="4B1522CE"/>
    <w:rsid w:val="4C20258C"/>
    <w:rsid w:val="4C715927"/>
    <w:rsid w:val="500C1B84"/>
    <w:rsid w:val="516346D5"/>
    <w:rsid w:val="521B2B53"/>
    <w:rsid w:val="54B15110"/>
    <w:rsid w:val="554217EF"/>
    <w:rsid w:val="56E57D77"/>
    <w:rsid w:val="58263F62"/>
    <w:rsid w:val="5AA25FCD"/>
    <w:rsid w:val="5AEA18B6"/>
    <w:rsid w:val="63513A8B"/>
    <w:rsid w:val="65A776BB"/>
    <w:rsid w:val="68B10A72"/>
    <w:rsid w:val="6A255FA5"/>
    <w:rsid w:val="6C923D80"/>
    <w:rsid w:val="79D66BD6"/>
    <w:rsid w:val="7D972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C4C"/>
    <w:pPr>
      <w:widowControl w:val="0"/>
      <w:jc w:val="both"/>
    </w:pPr>
    <w:rPr>
      <w:rFonts w:ascii="Calibri" w:hAnsi="Calibri"/>
      <w:kern w:val="2"/>
      <w:sz w:val="21"/>
      <w:szCs w:val="24"/>
    </w:rPr>
  </w:style>
  <w:style w:type="paragraph" w:styleId="2">
    <w:name w:val="heading 2"/>
    <w:basedOn w:val="a"/>
    <w:next w:val="a"/>
    <w:link w:val="2Char"/>
    <w:unhideWhenUsed/>
    <w:qFormat/>
    <w:rsid w:val="00EA0C4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A0C4C"/>
    <w:rPr>
      <w:b/>
    </w:rPr>
  </w:style>
  <w:style w:type="character" w:styleId="a4">
    <w:name w:val="FollowedHyperlink"/>
    <w:basedOn w:val="a0"/>
    <w:qFormat/>
    <w:rsid w:val="00EA0C4C"/>
    <w:rPr>
      <w:color w:val="337AB7"/>
      <w:u w:val="none"/>
    </w:rPr>
  </w:style>
  <w:style w:type="character" w:styleId="HTML">
    <w:name w:val="HTML Definition"/>
    <w:basedOn w:val="a0"/>
    <w:qFormat/>
    <w:rsid w:val="00EA0C4C"/>
    <w:rPr>
      <w:i/>
    </w:rPr>
  </w:style>
  <w:style w:type="character" w:styleId="a5">
    <w:name w:val="Hyperlink"/>
    <w:basedOn w:val="a0"/>
    <w:qFormat/>
    <w:rsid w:val="00EA0C4C"/>
    <w:rPr>
      <w:color w:val="337AB7"/>
      <w:u w:val="none"/>
    </w:rPr>
  </w:style>
  <w:style w:type="character" w:styleId="HTML0">
    <w:name w:val="HTML Code"/>
    <w:basedOn w:val="a0"/>
    <w:qFormat/>
    <w:rsid w:val="00EA0C4C"/>
    <w:rPr>
      <w:rFonts w:ascii="Consolas" w:eastAsia="Consolas" w:hAnsi="Consolas" w:cs="Consolas" w:hint="default"/>
      <w:color w:val="CA4440"/>
      <w:sz w:val="21"/>
      <w:szCs w:val="21"/>
      <w:shd w:val="clear" w:color="auto" w:fill="F9F2F4"/>
    </w:rPr>
  </w:style>
  <w:style w:type="character" w:styleId="HTML1">
    <w:name w:val="HTML Keyboard"/>
    <w:basedOn w:val="a0"/>
    <w:qFormat/>
    <w:rsid w:val="00EA0C4C"/>
    <w:rPr>
      <w:rFonts w:ascii="Consolas" w:eastAsia="Consolas" w:hAnsi="Consolas" w:cs="Consolas" w:hint="default"/>
      <w:color w:val="FFFFFF"/>
      <w:sz w:val="21"/>
      <w:szCs w:val="21"/>
      <w:shd w:val="clear" w:color="auto" w:fill="333333"/>
    </w:rPr>
  </w:style>
  <w:style w:type="character" w:styleId="HTML2">
    <w:name w:val="HTML Sample"/>
    <w:basedOn w:val="a0"/>
    <w:qFormat/>
    <w:rsid w:val="00EA0C4C"/>
    <w:rPr>
      <w:rFonts w:ascii="Consolas" w:eastAsia="Consolas" w:hAnsi="Consolas" w:cs="Consolas"/>
      <w:sz w:val="21"/>
      <w:szCs w:val="21"/>
    </w:rPr>
  </w:style>
  <w:style w:type="character" w:customStyle="1" w:styleId="2Char">
    <w:name w:val="标题 2 Char"/>
    <w:basedOn w:val="a0"/>
    <w:link w:val="2"/>
    <w:qFormat/>
    <w:rsid w:val="00EA0C4C"/>
    <w:rPr>
      <w:rFonts w:ascii="Arial" w:eastAsia="黑体" w:hAnsi="Arial"/>
      <w:b/>
      <w:sz w:val="32"/>
    </w:rPr>
  </w:style>
  <w:style w:type="character" w:customStyle="1" w:styleId="label10">
    <w:name w:val="label10"/>
    <w:basedOn w:val="a0"/>
    <w:qFormat/>
    <w:rsid w:val="00EA0C4C"/>
    <w:rPr>
      <w:color w:val="1AB394"/>
      <w:shd w:val="clear" w:color="auto" w:fill="FFFFFF"/>
    </w:rPr>
  </w:style>
  <w:style w:type="character" w:customStyle="1" w:styleId="label11">
    <w:name w:val="label11"/>
    <w:basedOn w:val="a0"/>
    <w:qFormat/>
    <w:rsid w:val="00EA0C4C"/>
    <w:rPr>
      <w:color w:val="1CC09F"/>
      <w:shd w:val="clear" w:color="auto" w:fill="FFFFFF"/>
    </w:rPr>
  </w:style>
  <w:style w:type="character" w:customStyle="1" w:styleId="label12">
    <w:name w:val="label12"/>
    <w:basedOn w:val="a0"/>
    <w:qFormat/>
    <w:rsid w:val="00EA0C4C"/>
  </w:style>
  <w:style w:type="character" w:customStyle="1" w:styleId="label13">
    <w:name w:val="label13"/>
    <w:basedOn w:val="a0"/>
    <w:qFormat/>
    <w:rsid w:val="00EA0C4C"/>
  </w:style>
  <w:style w:type="character" w:customStyle="1" w:styleId="hover11">
    <w:name w:val="hover11"/>
    <w:basedOn w:val="a0"/>
    <w:qFormat/>
    <w:rsid w:val="00EA0C4C"/>
    <w:rPr>
      <w:shd w:val="clear" w:color="auto" w:fill="EEEEEE"/>
    </w:rPr>
  </w:style>
  <w:style w:type="character" w:customStyle="1" w:styleId="old">
    <w:name w:val="old"/>
    <w:basedOn w:val="a0"/>
    <w:qFormat/>
    <w:rsid w:val="00EA0C4C"/>
    <w:rPr>
      <w:color w:val="999999"/>
    </w:rPr>
  </w:style>
  <w:style w:type="character" w:customStyle="1" w:styleId="new">
    <w:name w:val="new"/>
    <w:basedOn w:val="a0"/>
    <w:qFormat/>
    <w:rsid w:val="00EA0C4C"/>
    <w:rPr>
      <w:color w:val="999999"/>
    </w:rPr>
  </w:style>
  <w:style w:type="character" w:customStyle="1" w:styleId="first-child">
    <w:name w:val="first-child"/>
    <w:basedOn w:val="a0"/>
    <w:qFormat/>
    <w:rsid w:val="00EA0C4C"/>
  </w:style>
  <w:style w:type="character" w:customStyle="1" w:styleId="layui-this">
    <w:name w:val="layui-this"/>
    <w:basedOn w:val="a0"/>
    <w:qFormat/>
    <w:rsid w:val="00EA0C4C"/>
    <w:rPr>
      <w:bdr w:val="single" w:sz="6" w:space="0" w:color="EEEEEE"/>
      <w:shd w:val="clear" w:color="auto" w:fill="FFFFFF"/>
    </w:rPr>
  </w:style>
  <w:style w:type="character" w:customStyle="1" w:styleId="active7">
    <w:name w:val="active7"/>
    <w:basedOn w:val="a0"/>
    <w:qFormat/>
    <w:rsid w:val="00EA0C4C"/>
    <w:rPr>
      <w:shd w:val="clear" w:color="auto" w:fill="F6F6F6"/>
    </w:rPr>
  </w:style>
  <w:style w:type="character" w:customStyle="1" w:styleId="label">
    <w:name w:val="label"/>
    <w:basedOn w:val="a0"/>
    <w:qFormat/>
    <w:rsid w:val="00EA0C4C"/>
    <w:rPr>
      <w:color w:val="1AB394"/>
      <w:shd w:val="clear" w:color="auto" w:fill="FFFFFF"/>
    </w:rPr>
  </w:style>
  <w:style w:type="character" w:customStyle="1" w:styleId="label1">
    <w:name w:val="label1"/>
    <w:basedOn w:val="a0"/>
    <w:qFormat/>
    <w:rsid w:val="00EA0C4C"/>
    <w:rPr>
      <w:color w:val="1CC09F"/>
      <w:shd w:val="clear" w:color="auto" w:fill="FFFFFF"/>
    </w:rPr>
  </w:style>
  <w:style w:type="character" w:customStyle="1" w:styleId="label2">
    <w:name w:val="label2"/>
    <w:basedOn w:val="a0"/>
    <w:qFormat/>
    <w:rsid w:val="00EA0C4C"/>
    <w:rPr>
      <w:bdr w:val="dashed" w:sz="6" w:space="0" w:color="E7EAEC"/>
      <w:shd w:val="clear" w:color="auto" w:fill="F3F3F4"/>
    </w:rPr>
  </w:style>
  <w:style w:type="character" w:customStyle="1" w:styleId="label3">
    <w:name w:val="label3"/>
    <w:basedOn w:val="a0"/>
    <w:qFormat/>
    <w:rsid w:val="00EA0C4C"/>
  </w:style>
  <w:style w:type="character" w:customStyle="1" w:styleId="active">
    <w:name w:val="active"/>
    <w:basedOn w:val="a0"/>
    <w:qFormat/>
    <w:rsid w:val="00EA0C4C"/>
    <w:rPr>
      <w:shd w:val="clear" w:color="auto" w:fill="F6F6F6"/>
    </w:rPr>
  </w:style>
  <w:style w:type="character" w:customStyle="1" w:styleId="label9">
    <w:name w:val="label9"/>
    <w:basedOn w:val="a0"/>
    <w:qFormat/>
    <w:rsid w:val="00EA0C4C"/>
    <w:rPr>
      <w:color w:val="1CC09F"/>
      <w:shd w:val="clear" w:color="auto" w:fill="FFFFFF"/>
    </w:rPr>
  </w:style>
  <w:style w:type="character" w:customStyle="1" w:styleId="hover10">
    <w:name w:val="hover10"/>
    <w:basedOn w:val="a0"/>
    <w:qFormat/>
    <w:rsid w:val="00EA0C4C"/>
    <w:rPr>
      <w:shd w:val="clear" w:color="auto" w:fill="EEEEE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♂屾屾</dc:creator>
  <cp:lastModifiedBy>xbany</cp:lastModifiedBy>
  <cp:revision>3</cp:revision>
  <cp:lastPrinted>2019-11-05T08:47:00Z</cp:lastPrinted>
  <dcterms:created xsi:type="dcterms:W3CDTF">2019-05-07T08:39:00Z</dcterms:created>
  <dcterms:modified xsi:type="dcterms:W3CDTF">2019-11-05T08:47:00Z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