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FE" w:rsidRDefault="00255B99">
      <w:pPr>
        <w:spacing w:line="440" w:lineRule="exact"/>
        <w:rPr>
          <w:rFonts w:ascii="仿宋" w:eastAsia="仿宋" w:hAnsi="仿宋" w:cs="仿宋"/>
          <w:bCs/>
          <w:sz w:val="32"/>
          <w:szCs w:val="32"/>
        </w:rPr>
      </w:pPr>
      <w:r>
        <w:rPr>
          <w:rFonts w:ascii="仿宋" w:eastAsia="仿宋" w:hAnsi="仿宋" w:cs="仿宋" w:hint="eastAsia"/>
          <w:bCs/>
          <w:sz w:val="32"/>
          <w:szCs w:val="32"/>
        </w:rPr>
        <w:t>附件1</w:t>
      </w:r>
    </w:p>
    <w:p w:rsidR="009203FE" w:rsidRDefault="00255B99">
      <w:pPr>
        <w:spacing w:line="520" w:lineRule="exact"/>
        <w:jc w:val="center"/>
        <w:rPr>
          <w:rStyle w:val="2Char"/>
          <w:rFonts w:ascii="仿宋" w:eastAsia="仿宋" w:hAnsi="仿宋" w:cs="仿宋"/>
          <w:b w:val="0"/>
          <w:sz w:val="44"/>
          <w:szCs w:val="44"/>
        </w:rPr>
      </w:pPr>
      <w:r>
        <w:rPr>
          <w:rStyle w:val="2Char"/>
          <w:rFonts w:ascii="仿宋" w:eastAsia="仿宋" w:hAnsi="仿宋" w:cs="仿宋" w:hint="eastAsia"/>
          <w:b w:val="0"/>
          <w:sz w:val="44"/>
          <w:szCs w:val="44"/>
        </w:rPr>
        <w:t>本次检验项目</w:t>
      </w:r>
    </w:p>
    <w:p w:rsidR="009203FE" w:rsidRDefault="00AA5F0C">
      <w:pPr>
        <w:spacing w:line="4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w:t>
      </w:r>
      <w:r w:rsidR="00255B99">
        <w:rPr>
          <w:rFonts w:ascii="仿宋" w:eastAsia="仿宋" w:hAnsi="仿宋" w:cs="仿宋" w:hint="eastAsia"/>
          <w:b/>
          <w:bCs/>
          <w:sz w:val="32"/>
          <w:szCs w:val="32"/>
        </w:rPr>
        <w:t>、食用农产品</w:t>
      </w:r>
    </w:p>
    <w:p w:rsidR="009203FE" w:rsidRDefault="00255B99">
      <w:pPr>
        <w:spacing w:line="4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（一）抽检依据 </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抽检依据《食品安全国家标准 食品中真菌毒素限量》（GB 2761-2017）、《食品安全国家标准 食品中污染物限量》（GB 2762-2017）、《食品安全国家标准 食品中农药最大残留限量》（GB 2763-2016）、农业部公告第235号、国家食品药品监督管理总局农业部国家卫生和计划生育委员会关于豆芽生产过程中禁止使用6-苄基腺嘌呤等物质的公告（2015年第11号）、农业部公告第2292号、整顿办函〔2010〕50号等标准及产品明示标准和指标的要求。</w:t>
      </w:r>
    </w:p>
    <w:p w:rsidR="009203FE" w:rsidRDefault="00255B99">
      <w:pPr>
        <w:spacing w:line="440" w:lineRule="exact"/>
        <w:ind w:firstLineChars="196" w:firstLine="630"/>
        <w:rPr>
          <w:rFonts w:ascii="仿宋" w:eastAsia="仿宋" w:hAnsi="仿宋" w:cs="仿宋"/>
          <w:b/>
          <w:sz w:val="32"/>
          <w:szCs w:val="32"/>
        </w:rPr>
      </w:pPr>
      <w:r>
        <w:rPr>
          <w:rFonts w:ascii="仿宋" w:eastAsia="仿宋" w:hAnsi="仿宋" w:cs="仿宋" w:hint="eastAsia"/>
          <w:b/>
          <w:sz w:val="32"/>
          <w:szCs w:val="32"/>
        </w:rPr>
        <w:t>（二）检验项目</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1.猪肉抽检项目包括克伦特罗、沙丁胺醇、莱克多巴胺、氯霉素、呋喃唑酮代谢物。</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2.豆类抽检项目包括铅（以Pb计）、镉（以Cd计）、铬（以Cr计）、赭曲霉毒素A、烯草酮、马拉硫磷、甲基异柳磷、过氧化值（以脂肪计）a。</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3.生干坚果与籽类抽检项目包括铅（以Pb计）、镉（以Cd计）、铬（以Cr计）、赭曲霉毒素A、烯草酮、马拉硫磷、甲基异柳磷、过氧化值（以脂肪计）a。</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4.鸡蛋抽检项目包括恩诺沙星、氟苯尼考、氧氟沙星、呋喃它酮代谢物。</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5.结球甘蓝（芸薹属类蔬菜）抽检项目包括氧乐果、克百威、甲萘威。</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6.茄子（茄果类蔬菜）抽检项目包括氧乐果、克百威。</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7.黄瓜（瓜类蔬菜）抽检项目包括甲胺磷、克百威、氧乐果。</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8.辣椒（茄果类蔬菜）抽检项目包括氟虫腈、氧乐果、克百威。</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9.番茄（茄果类蔬菜）抽检项目包括氧乐果、克百威。</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10.豆芽抽检项目包括铅（以Pb 计）、亚硫酸盐、4-氯苯氧乙酸钠、6-苄基腺嘌呤（6-BA）。</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11.豇豆（豆类蔬菜）抽检项目包括克百威、灭蝇胺、氧乐果、水胺硫磷、氟虫腈、联苯肼酯。</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12.油麦菜（叶菜类蔬菜）抽检项目包括氟虫腈、氧乐果、铅（以Pb 计）。</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13.山药（根茎类和薯芋类蔬菜）抽检项目包括克百威、敌百虫、乐果、对硫磷、氟虫腈。</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14.花椰菜（芸薹属类蔬菜）抽检项目包括氧乐果、氰戊菊酯和S-氰戊菊酯、灭线磷、毒死蜱、克百威。</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15.芹菜（叶菜类蔬菜）抽检项目包括毒死蜱、甲拌磷、克百威、氟虫腈、氧乐果、铅（以Pb 计）。</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16.香蕉抽检项目包括吡唑醚菌酯、铅（以Pb 计）。</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17.桃抽检项目包括铅（以Pb 计）、辛硫磷、戊唑醇。</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18.梨抽检项目包括氧乐果、辛硫磷、烯唑醇、戊唑醇。</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19.葡萄抽检项目包括辛硫磷、戊唑醇、戊菌唑、噻菌灵。</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20.葱（其他类蔬菜）抽检项目包括氯唑磷、内吸磷、甲拌磷。</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21西葫芦（其他类蔬菜）抽检项目包括克百威、苯醚甲环唑、多菌灵。</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22萝卜、土豆（其他类蔬菜）抽检项目包括对硫磷、氟虫腈、甲拌磷。</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23姜（其他类蔬菜）抽检项目包括克百威、甲拌磷、辛硫磷。</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24蒜（其他类蔬菜）抽检项目包括甲拌磷、氧乐果、克百威。</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25洋葱（其他类蔬菜）抽检项目包括甲拌磷、氯唑磷、克百威。</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26冬瓜（其他类蔬菜）抽检项目包括苯醚甲环唑。</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27菜薹（其他类蔬菜）抽检项目包括甲拌磷。</w:t>
      </w:r>
    </w:p>
    <w:p w:rsidR="009203FE" w:rsidRDefault="00255B99">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28.菜豆（豆类蔬菜）抽检项目包括敌百虫、克百威、氧乐果。</w:t>
      </w:r>
    </w:p>
    <w:sectPr w:rsidR="009203FE" w:rsidSect="009203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1EF54DB"/>
    <w:rsid w:val="002355A6"/>
    <w:rsid w:val="00255B99"/>
    <w:rsid w:val="00426512"/>
    <w:rsid w:val="00514126"/>
    <w:rsid w:val="009203FE"/>
    <w:rsid w:val="009C7EE5"/>
    <w:rsid w:val="00AA5F0C"/>
    <w:rsid w:val="094C5F82"/>
    <w:rsid w:val="0A0768F4"/>
    <w:rsid w:val="0BD20106"/>
    <w:rsid w:val="0DD112E6"/>
    <w:rsid w:val="11A06DA1"/>
    <w:rsid w:val="11EF54DB"/>
    <w:rsid w:val="1272412C"/>
    <w:rsid w:val="128F2827"/>
    <w:rsid w:val="13397B1B"/>
    <w:rsid w:val="17AF5633"/>
    <w:rsid w:val="1EAC3910"/>
    <w:rsid w:val="202C7DB3"/>
    <w:rsid w:val="29122663"/>
    <w:rsid w:val="2F164198"/>
    <w:rsid w:val="2FD94FD4"/>
    <w:rsid w:val="33284E7B"/>
    <w:rsid w:val="3AAF0323"/>
    <w:rsid w:val="3FFD1D3A"/>
    <w:rsid w:val="41DB2843"/>
    <w:rsid w:val="441F5C49"/>
    <w:rsid w:val="463B2D4C"/>
    <w:rsid w:val="474E0BDD"/>
    <w:rsid w:val="4C20258C"/>
    <w:rsid w:val="516346D5"/>
    <w:rsid w:val="521B2B53"/>
    <w:rsid w:val="54B15110"/>
    <w:rsid w:val="54CD5AFF"/>
    <w:rsid w:val="554217EF"/>
    <w:rsid w:val="56E57D77"/>
    <w:rsid w:val="57FC6070"/>
    <w:rsid w:val="58263F62"/>
    <w:rsid w:val="5AA25FCD"/>
    <w:rsid w:val="5AEA18B6"/>
    <w:rsid w:val="63513A8B"/>
    <w:rsid w:val="68B10A72"/>
    <w:rsid w:val="6A255FA5"/>
    <w:rsid w:val="6C923D80"/>
    <w:rsid w:val="79D66BD6"/>
    <w:rsid w:val="7D972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3FE"/>
    <w:pPr>
      <w:widowControl w:val="0"/>
      <w:jc w:val="both"/>
    </w:pPr>
    <w:rPr>
      <w:rFonts w:ascii="Calibri" w:hAnsi="Calibri"/>
      <w:kern w:val="2"/>
      <w:sz w:val="21"/>
      <w:szCs w:val="24"/>
    </w:rPr>
  </w:style>
  <w:style w:type="paragraph" w:styleId="2">
    <w:name w:val="heading 2"/>
    <w:basedOn w:val="a"/>
    <w:next w:val="a"/>
    <w:link w:val="2Char"/>
    <w:unhideWhenUsed/>
    <w:qFormat/>
    <w:rsid w:val="009203F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203FE"/>
    <w:rPr>
      <w:b/>
    </w:rPr>
  </w:style>
  <w:style w:type="character" w:styleId="a4">
    <w:name w:val="FollowedHyperlink"/>
    <w:basedOn w:val="a0"/>
    <w:qFormat/>
    <w:rsid w:val="009203FE"/>
    <w:rPr>
      <w:color w:val="337AB7"/>
      <w:u w:val="none"/>
    </w:rPr>
  </w:style>
  <w:style w:type="character" w:styleId="HTML">
    <w:name w:val="HTML Definition"/>
    <w:basedOn w:val="a0"/>
    <w:qFormat/>
    <w:rsid w:val="009203FE"/>
    <w:rPr>
      <w:i/>
    </w:rPr>
  </w:style>
  <w:style w:type="character" w:styleId="a5">
    <w:name w:val="Hyperlink"/>
    <w:basedOn w:val="a0"/>
    <w:qFormat/>
    <w:rsid w:val="009203FE"/>
    <w:rPr>
      <w:color w:val="337AB7"/>
      <w:u w:val="none"/>
    </w:rPr>
  </w:style>
  <w:style w:type="character" w:styleId="HTML0">
    <w:name w:val="HTML Code"/>
    <w:basedOn w:val="a0"/>
    <w:qFormat/>
    <w:rsid w:val="009203FE"/>
    <w:rPr>
      <w:rFonts w:ascii="Consolas" w:eastAsia="Consolas" w:hAnsi="Consolas" w:cs="Consolas" w:hint="default"/>
      <w:color w:val="CA4440"/>
      <w:sz w:val="21"/>
      <w:szCs w:val="21"/>
      <w:shd w:val="clear" w:color="auto" w:fill="F9F2F4"/>
    </w:rPr>
  </w:style>
  <w:style w:type="character" w:styleId="HTML1">
    <w:name w:val="HTML Keyboard"/>
    <w:basedOn w:val="a0"/>
    <w:qFormat/>
    <w:rsid w:val="009203FE"/>
    <w:rPr>
      <w:rFonts w:ascii="Consolas" w:eastAsia="Consolas" w:hAnsi="Consolas" w:cs="Consolas" w:hint="default"/>
      <w:color w:val="FFFFFF"/>
      <w:sz w:val="21"/>
      <w:szCs w:val="21"/>
      <w:shd w:val="clear" w:color="auto" w:fill="333333"/>
    </w:rPr>
  </w:style>
  <w:style w:type="character" w:styleId="HTML2">
    <w:name w:val="HTML Sample"/>
    <w:basedOn w:val="a0"/>
    <w:qFormat/>
    <w:rsid w:val="009203FE"/>
    <w:rPr>
      <w:rFonts w:ascii="Consolas" w:eastAsia="Consolas" w:hAnsi="Consolas" w:cs="Consolas"/>
      <w:sz w:val="21"/>
      <w:szCs w:val="21"/>
    </w:rPr>
  </w:style>
  <w:style w:type="character" w:customStyle="1" w:styleId="2Char">
    <w:name w:val="标题 2 Char"/>
    <w:basedOn w:val="a0"/>
    <w:link w:val="2"/>
    <w:qFormat/>
    <w:rsid w:val="009203FE"/>
    <w:rPr>
      <w:rFonts w:ascii="Arial" w:eastAsia="黑体" w:hAnsi="Arial"/>
      <w:b/>
      <w:sz w:val="32"/>
    </w:rPr>
  </w:style>
  <w:style w:type="character" w:customStyle="1" w:styleId="label10">
    <w:name w:val="label10"/>
    <w:basedOn w:val="a0"/>
    <w:qFormat/>
    <w:rsid w:val="009203FE"/>
    <w:rPr>
      <w:color w:val="1AB394"/>
      <w:shd w:val="clear" w:color="auto" w:fill="FFFFFF"/>
    </w:rPr>
  </w:style>
  <w:style w:type="character" w:customStyle="1" w:styleId="label11">
    <w:name w:val="label11"/>
    <w:basedOn w:val="a0"/>
    <w:qFormat/>
    <w:rsid w:val="009203FE"/>
    <w:rPr>
      <w:color w:val="1CC09F"/>
      <w:shd w:val="clear" w:color="auto" w:fill="FFFFFF"/>
    </w:rPr>
  </w:style>
  <w:style w:type="character" w:customStyle="1" w:styleId="label12">
    <w:name w:val="label12"/>
    <w:basedOn w:val="a0"/>
    <w:qFormat/>
    <w:rsid w:val="009203FE"/>
  </w:style>
  <w:style w:type="character" w:customStyle="1" w:styleId="label13">
    <w:name w:val="label13"/>
    <w:basedOn w:val="a0"/>
    <w:qFormat/>
    <w:rsid w:val="009203FE"/>
  </w:style>
  <w:style w:type="character" w:customStyle="1" w:styleId="hover11">
    <w:name w:val="hover11"/>
    <w:basedOn w:val="a0"/>
    <w:qFormat/>
    <w:rsid w:val="009203FE"/>
    <w:rPr>
      <w:shd w:val="clear" w:color="auto" w:fill="EEEEEE"/>
    </w:rPr>
  </w:style>
  <w:style w:type="character" w:customStyle="1" w:styleId="old">
    <w:name w:val="old"/>
    <w:basedOn w:val="a0"/>
    <w:qFormat/>
    <w:rsid w:val="009203FE"/>
    <w:rPr>
      <w:color w:val="999999"/>
    </w:rPr>
  </w:style>
  <w:style w:type="character" w:customStyle="1" w:styleId="new">
    <w:name w:val="new"/>
    <w:basedOn w:val="a0"/>
    <w:qFormat/>
    <w:rsid w:val="009203FE"/>
    <w:rPr>
      <w:color w:val="999999"/>
    </w:rPr>
  </w:style>
  <w:style w:type="character" w:customStyle="1" w:styleId="first-child">
    <w:name w:val="first-child"/>
    <w:basedOn w:val="a0"/>
    <w:qFormat/>
    <w:rsid w:val="009203FE"/>
  </w:style>
  <w:style w:type="character" w:customStyle="1" w:styleId="layui-this">
    <w:name w:val="layui-this"/>
    <w:basedOn w:val="a0"/>
    <w:qFormat/>
    <w:rsid w:val="009203FE"/>
    <w:rPr>
      <w:bdr w:val="single" w:sz="6" w:space="0" w:color="EEEEEE"/>
      <w:shd w:val="clear" w:color="auto" w:fill="FFFFFF"/>
    </w:rPr>
  </w:style>
  <w:style w:type="character" w:customStyle="1" w:styleId="active7">
    <w:name w:val="active7"/>
    <w:basedOn w:val="a0"/>
    <w:qFormat/>
    <w:rsid w:val="009203FE"/>
    <w:rPr>
      <w:shd w:val="clear" w:color="auto" w:fill="F6F6F6"/>
    </w:rPr>
  </w:style>
  <w:style w:type="character" w:customStyle="1" w:styleId="label">
    <w:name w:val="label"/>
    <w:basedOn w:val="a0"/>
    <w:qFormat/>
    <w:rsid w:val="009203FE"/>
    <w:rPr>
      <w:color w:val="1AB394"/>
      <w:shd w:val="clear" w:color="auto" w:fill="FFFFFF"/>
    </w:rPr>
  </w:style>
  <w:style w:type="character" w:customStyle="1" w:styleId="label1">
    <w:name w:val="label1"/>
    <w:basedOn w:val="a0"/>
    <w:qFormat/>
    <w:rsid w:val="009203FE"/>
    <w:rPr>
      <w:color w:val="1CC09F"/>
      <w:shd w:val="clear" w:color="auto" w:fill="FFFFFF"/>
    </w:rPr>
  </w:style>
  <w:style w:type="character" w:customStyle="1" w:styleId="label2">
    <w:name w:val="label2"/>
    <w:basedOn w:val="a0"/>
    <w:qFormat/>
    <w:rsid w:val="009203FE"/>
    <w:rPr>
      <w:bdr w:val="dashed" w:sz="6" w:space="0" w:color="E7EAEC"/>
      <w:shd w:val="clear" w:color="auto" w:fill="F3F3F4"/>
    </w:rPr>
  </w:style>
  <w:style w:type="character" w:customStyle="1" w:styleId="label3">
    <w:name w:val="label3"/>
    <w:basedOn w:val="a0"/>
    <w:qFormat/>
    <w:rsid w:val="009203FE"/>
  </w:style>
  <w:style w:type="character" w:customStyle="1" w:styleId="active">
    <w:name w:val="active"/>
    <w:basedOn w:val="a0"/>
    <w:qFormat/>
    <w:rsid w:val="009203FE"/>
    <w:rPr>
      <w:shd w:val="clear" w:color="auto" w:fill="F6F6F6"/>
    </w:rPr>
  </w:style>
  <w:style w:type="character" w:customStyle="1" w:styleId="label9">
    <w:name w:val="label9"/>
    <w:basedOn w:val="a0"/>
    <w:qFormat/>
    <w:rsid w:val="009203FE"/>
    <w:rPr>
      <w:color w:val="1CC09F"/>
      <w:shd w:val="clear" w:color="auto" w:fill="FFFFFF"/>
    </w:rPr>
  </w:style>
  <w:style w:type="character" w:customStyle="1" w:styleId="hover10">
    <w:name w:val="hover10"/>
    <w:basedOn w:val="a0"/>
    <w:qFormat/>
    <w:rsid w:val="009203FE"/>
    <w:rPr>
      <w:shd w:val="clear" w:color="auto" w:fill="EEEEE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♂屾屾</dc:creator>
  <cp:lastModifiedBy>xbany</cp:lastModifiedBy>
  <cp:revision>3</cp:revision>
  <cp:lastPrinted>2019-11-10T11:36:00Z</cp:lastPrinted>
  <dcterms:created xsi:type="dcterms:W3CDTF">2019-11-10T11:34:00Z</dcterms:created>
  <dcterms:modified xsi:type="dcterms:W3CDTF">2019-11-10T11:36:00Z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