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eastAsia" w:asciiTheme="majorEastAsia" w:hAnsiTheme="majorEastAsia" w:eastAsiaTheme="majorEastAsia" w:cstheme="majorEastAsia"/>
          <w:b/>
          <w:bCs/>
          <w:i w:val="0"/>
          <w:iCs w:val="0"/>
          <w:caps w:val="0"/>
          <w:color w:val="000000" w:themeColor="text1"/>
          <w:spacing w:val="0"/>
          <w:sz w:val="44"/>
          <w:szCs w:val="44"/>
          <w14:textFill>
            <w14:solidFill>
              <w14:schemeClr w14:val="tx1"/>
            </w14:solidFill>
          </w14:textFill>
        </w:rPr>
      </w:pPr>
      <w:r>
        <w:rPr>
          <w:rFonts w:hint="eastAsia" w:asciiTheme="majorEastAsia" w:hAnsiTheme="majorEastAsia" w:eastAsiaTheme="majorEastAsia" w:cstheme="majorEastAsia"/>
          <w:b/>
          <w:bCs/>
          <w:i w:val="0"/>
          <w:iCs w:val="0"/>
          <w:caps w:val="0"/>
          <w:color w:val="000000" w:themeColor="text1"/>
          <w:spacing w:val="0"/>
          <w:kern w:val="0"/>
          <w:sz w:val="44"/>
          <w:szCs w:val="44"/>
          <w:lang w:val="en-US" w:eastAsia="zh-CN" w:bidi="ar"/>
          <w14:textFill>
            <w14:solidFill>
              <w14:schemeClr w14:val="tx1"/>
            </w14:solidFill>
          </w14:textFill>
        </w:rPr>
        <w:t>关于做好2019年基本公共卫生服务项目工作的通知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rPr>
          <w:rFonts w:ascii="仿宋" w:hAnsi="仿宋" w:eastAsia="仿宋" w:cs="仿宋"/>
          <w:color w:val="484848"/>
          <w:sz w:val="32"/>
          <w:szCs w:val="32"/>
        </w:rPr>
      </w:pPr>
      <w:r>
        <w:rPr>
          <w:rFonts w:hint="eastAsia" w:ascii="仿宋" w:hAnsi="仿宋" w:eastAsia="仿宋" w:cs="仿宋"/>
          <w:i w:val="0"/>
          <w:iCs w:val="0"/>
          <w:caps w:val="0"/>
          <w:color w:val="484848"/>
          <w:spacing w:val="0"/>
          <w:sz w:val="32"/>
          <w:szCs w:val="32"/>
        </w:rPr>
        <w:t>国卫基层发〔2019〕52号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both"/>
        <w:rPr>
          <w:rFonts w:hint="eastAsia" w:ascii="仿宋" w:hAnsi="仿宋" w:eastAsia="仿宋" w:cs="仿宋"/>
          <w:color w:val="484848"/>
          <w:sz w:val="32"/>
          <w:szCs w:val="32"/>
        </w:rPr>
      </w:pPr>
      <w:r>
        <w:rPr>
          <w:rFonts w:hint="eastAsia" w:ascii="仿宋" w:hAnsi="仿宋" w:eastAsia="仿宋" w:cs="仿宋"/>
          <w:i w:val="0"/>
          <w:iCs w:val="0"/>
          <w:caps w:val="0"/>
          <w:color w:val="484848"/>
          <w:spacing w:val="0"/>
          <w:sz w:val="32"/>
          <w:szCs w:val="32"/>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both"/>
        <w:rPr>
          <w:rFonts w:hint="eastAsia" w:ascii="仿宋" w:hAnsi="仿宋" w:eastAsia="仿宋" w:cs="仿宋"/>
          <w:color w:val="484848"/>
          <w:sz w:val="32"/>
          <w:szCs w:val="32"/>
        </w:rPr>
      </w:pPr>
      <w:r>
        <w:rPr>
          <w:rFonts w:hint="eastAsia" w:ascii="仿宋" w:hAnsi="仿宋" w:eastAsia="仿宋" w:cs="仿宋"/>
          <w:i w:val="0"/>
          <w:iCs w:val="0"/>
          <w:caps w:val="0"/>
          <w:color w:val="484848"/>
          <w:spacing w:val="0"/>
          <w:sz w:val="32"/>
          <w:szCs w:val="32"/>
        </w:rPr>
        <w:t>各省、自治区、直辖市及新疆生产建设兵团卫生健康委、财政厅（局）、中医药管理局：</w:t>
      </w:r>
      <w:r>
        <w:rPr>
          <w:rFonts w:hint="eastAsia" w:ascii="仿宋" w:hAnsi="仿宋" w:eastAsia="仿宋" w:cs="仿宋"/>
          <w:i w:val="0"/>
          <w:iCs w:val="0"/>
          <w:caps w:val="0"/>
          <w:color w:val="484848"/>
          <w:spacing w:val="0"/>
          <w:sz w:val="32"/>
          <w:szCs w:val="32"/>
        </w:rPr>
        <w:br w:type="textWrapping"/>
      </w:r>
      <w:r>
        <w:rPr>
          <w:rFonts w:hint="eastAsia" w:ascii="仿宋" w:hAnsi="仿宋" w:eastAsia="仿宋" w:cs="仿宋"/>
          <w:i w:val="0"/>
          <w:iCs w:val="0"/>
          <w:caps w:val="0"/>
          <w:color w:val="484848"/>
          <w:spacing w:val="0"/>
          <w:sz w:val="32"/>
          <w:szCs w:val="32"/>
        </w:rPr>
        <w:t>　　为贯彻落实《国务院办公厅关于印发医疗卫生领域中央与地方财政事权和支出责任划分改革方案的通知》（国办发〔2018〕67号，以下简称《方案》），做好2019年基本公共卫生服务工作，现将有关事项通知如下：</w:t>
      </w:r>
      <w:r>
        <w:rPr>
          <w:rFonts w:hint="eastAsia" w:ascii="仿宋" w:hAnsi="仿宋" w:eastAsia="仿宋" w:cs="仿宋"/>
          <w:i w:val="0"/>
          <w:iCs w:val="0"/>
          <w:caps w:val="0"/>
          <w:color w:val="484848"/>
          <w:spacing w:val="0"/>
          <w:sz w:val="32"/>
          <w:szCs w:val="32"/>
        </w:rPr>
        <w:br w:type="textWrapping"/>
      </w:r>
      <w:r>
        <w:rPr>
          <w:rFonts w:ascii="黑体" w:hAnsi="宋体" w:eastAsia="黑体" w:cs="黑体"/>
          <w:i w:val="0"/>
          <w:iCs w:val="0"/>
          <w:caps w:val="0"/>
          <w:color w:val="484848"/>
          <w:spacing w:val="0"/>
          <w:sz w:val="32"/>
          <w:szCs w:val="32"/>
        </w:rPr>
        <w:t>　　一、明确工作任务目标</w:t>
      </w:r>
      <w:r>
        <w:rPr>
          <w:rFonts w:hint="eastAsia" w:ascii="仿宋" w:hAnsi="仿宋" w:eastAsia="仿宋" w:cs="仿宋"/>
          <w:i w:val="0"/>
          <w:iCs w:val="0"/>
          <w:caps w:val="0"/>
          <w:color w:val="484848"/>
          <w:spacing w:val="0"/>
          <w:sz w:val="32"/>
          <w:szCs w:val="32"/>
        </w:rPr>
        <w:br w:type="textWrapping"/>
      </w:r>
      <w:r>
        <w:rPr>
          <w:rFonts w:ascii="楷体" w:hAnsi="楷体" w:eastAsia="楷体" w:cs="楷体"/>
          <w:i w:val="0"/>
          <w:iCs w:val="0"/>
          <w:caps w:val="0"/>
          <w:color w:val="484848"/>
          <w:spacing w:val="0"/>
          <w:sz w:val="32"/>
          <w:szCs w:val="32"/>
        </w:rPr>
        <w:t>　　</w:t>
      </w:r>
      <w:r>
        <w:rPr>
          <w:rFonts w:ascii="楷体" w:hAnsi="楷体" w:eastAsia="楷体" w:cs="楷体"/>
          <w:b/>
          <w:bCs/>
          <w:i w:val="0"/>
          <w:iCs w:val="0"/>
          <w:caps w:val="0"/>
          <w:color w:val="484848"/>
          <w:spacing w:val="0"/>
          <w:sz w:val="32"/>
          <w:szCs w:val="32"/>
        </w:rPr>
        <w:t>（一）原基本公共卫生服务内容。</w:t>
      </w:r>
      <w:r>
        <w:rPr>
          <w:rFonts w:hint="eastAsia" w:ascii="仿宋" w:hAnsi="仿宋" w:eastAsia="仿宋" w:cs="仿宋"/>
          <w:i w:val="0"/>
          <w:iCs w:val="0"/>
          <w:caps w:val="0"/>
          <w:color w:val="484848"/>
          <w:spacing w:val="0"/>
          <w:sz w:val="32"/>
          <w:szCs w:val="32"/>
        </w:rPr>
        <w:t>各地要按照2019年度中央转移地方专项转移支付基本公共卫生服务项目整体绩效目标和区域绩效目标，依据《国家基本公共卫生服务规范（第三版）》，继续实施建立居民健康档案、健康教育、预防接种、儿童健康管理、孕产妇健康管理、老年人健康管理、高血压和2型糖尿病等慢性病患者健康管理、严重精神障碍患者管理、肺结核患者健康管理、中医药健康管理、传染病和突发公共卫生事件报告和处理、卫生监督协管等12类项目。在开展儿童健康管理过程中，落实国家卫生健康委办公厅关于《做好0—6岁儿童眼保健和视力检查有关工作的通知》（国卫办妇幼发〔2019〕9号），规范开展0—6岁儿童眼保健和视力检查有关工作；加强儿童肥胖筛查和健康指导，积极开展儿童肥胖防控。面向贫困人口做好基本公共卫生服务项目，促进基本公共卫生服务均等化。</w:t>
      </w:r>
      <w:r>
        <w:rPr>
          <w:rFonts w:hint="eastAsia" w:ascii="仿宋" w:hAnsi="仿宋" w:eastAsia="仿宋" w:cs="仿宋"/>
          <w:i w:val="0"/>
          <w:iCs w:val="0"/>
          <w:caps w:val="0"/>
          <w:color w:val="484848"/>
          <w:spacing w:val="0"/>
          <w:sz w:val="32"/>
          <w:szCs w:val="32"/>
        </w:rPr>
        <w:br w:type="textWrapping"/>
      </w:r>
      <w:r>
        <w:rPr>
          <w:rFonts w:hint="eastAsia" w:ascii="楷体" w:hAnsi="楷体" w:eastAsia="楷体" w:cs="楷体"/>
          <w:i w:val="0"/>
          <w:iCs w:val="0"/>
          <w:caps w:val="0"/>
          <w:color w:val="484848"/>
          <w:spacing w:val="0"/>
          <w:sz w:val="32"/>
          <w:szCs w:val="32"/>
        </w:rPr>
        <w:t>　　</w:t>
      </w:r>
      <w:r>
        <w:rPr>
          <w:rFonts w:hint="eastAsia" w:ascii="楷体" w:hAnsi="楷体" w:eastAsia="楷体" w:cs="楷体"/>
          <w:b/>
          <w:bCs/>
          <w:i w:val="0"/>
          <w:iCs w:val="0"/>
          <w:caps w:val="0"/>
          <w:color w:val="484848"/>
          <w:spacing w:val="0"/>
          <w:sz w:val="32"/>
          <w:szCs w:val="32"/>
        </w:rPr>
        <w:t>（二）新划入基本公共卫生服务内容。</w:t>
      </w:r>
      <w:r>
        <w:rPr>
          <w:rFonts w:hint="eastAsia" w:ascii="仿宋" w:hAnsi="仿宋" w:eastAsia="仿宋" w:cs="仿宋"/>
          <w:i w:val="0"/>
          <w:iCs w:val="0"/>
          <w:caps w:val="0"/>
          <w:color w:val="484848"/>
          <w:spacing w:val="0"/>
          <w:sz w:val="32"/>
          <w:szCs w:val="32"/>
        </w:rPr>
        <w:t>按照《方案》要求，2019年起将原重大公共卫生服务和计划生育项目中的妇幼卫生、老年健康服务、医养结合、卫生应急、孕前检查等内容纳入基本公共卫生服务。对于新划入基本公共卫生服务的内容，将地方病防治、职业病防治、重大疾病及危害因素监测等3项重点工作按项目单列，明确资金和任务；其他疾病预防控制、妇幼健康服务、老年健康与医养结合服务、食品安全保障、卫生监督管理、卫生应急队伍建设、人口监测与计划生育服务、健康素养促进等工作（详见附件），由国家卫生健康委提供工作规范和绩效评价指标，由各省份结合本地实际实施，在实施中要做好项目衔接，确保相关工作的连续性。</w:t>
      </w:r>
      <w:r>
        <w:rPr>
          <w:rFonts w:hint="eastAsia" w:ascii="仿宋" w:hAnsi="仿宋" w:eastAsia="仿宋" w:cs="仿宋"/>
          <w:i w:val="0"/>
          <w:iCs w:val="0"/>
          <w:caps w:val="0"/>
          <w:color w:val="484848"/>
          <w:spacing w:val="0"/>
          <w:sz w:val="32"/>
          <w:szCs w:val="32"/>
        </w:rPr>
        <w:br w:type="textWrapping"/>
      </w:r>
      <w:r>
        <w:rPr>
          <w:rFonts w:hint="eastAsia" w:ascii="黑体" w:hAnsi="宋体" w:eastAsia="黑体" w:cs="黑体"/>
          <w:i w:val="0"/>
          <w:iCs w:val="0"/>
          <w:caps w:val="0"/>
          <w:color w:val="484848"/>
          <w:spacing w:val="0"/>
          <w:sz w:val="32"/>
          <w:szCs w:val="32"/>
        </w:rPr>
        <w:t>　　二、提高经费补助标准</w:t>
      </w:r>
      <w:r>
        <w:rPr>
          <w:rFonts w:hint="eastAsia" w:ascii="仿宋" w:hAnsi="仿宋" w:eastAsia="仿宋" w:cs="仿宋"/>
          <w:i w:val="0"/>
          <w:iCs w:val="0"/>
          <w:caps w:val="0"/>
          <w:color w:val="484848"/>
          <w:spacing w:val="0"/>
          <w:sz w:val="32"/>
          <w:szCs w:val="32"/>
        </w:rPr>
        <w:br w:type="textWrapping"/>
      </w:r>
      <w:r>
        <w:rPr>
          <w:rFonts w:hint="eastAsia" w:ascii="仿宋" w:hAnsi="仿宋" w:eastAsia="仿宋" w:cs="仿宋"/>
          <w:i w:val="0"/>
          <w:iCs w:val="0"/>
          <w:caps w:val="0"/>
          <w:color w:val="484848"/>
          <w:spacing w:val="0"/>
          <w:sz w:val="32"/>
          <w:szCs w:val="32"/>
        </w:rPr>
        <w:t>　　2019年人均基本公共卫生服务经费补助标准为69元，新增5元经费全部用于村和社区，务必让基层群众受益。各地要按照《方案》要求，积极主动落实地方财政事权和支出责任，严格按照《财政部 国家卫生健康委 国家医疗保障局 国家中医药管理局关于印发基本公共卫生服务等5项补助资金管理办法的通知》（财社〔2019〕113号）要求，确保项目经费按时足额到位，不得挤占、挪用项目经费。在确保国家基础标准落实到位的前提下，可合理增加保障内容或提高保障标准，增支部分由地方承担，不得挤占国家项目经费。</w:t>
      </w:r>
      <w:r>
        <w:rPr>
          <w:rFonts w:hint="eastAsia" w:ascii="仿宋" w:hAnsi="仿宋" w:eastAsia="仿宋" w:cs="仿宋"/>
          <w:i w:val="0"/>
          <w:iCs w:val="0"/>
          <w:caps w:val="0"/>
          <w:color w:val="484848"/>
          <w:spacing w:val="0"/>
          <w:sz w:val="32"/>
          <w:szCs w:val="32"/>
        </w:rPr>
        <w:br w:type="textWrapping"/>
      </w:r>
      <w:r>
        <w:rPr>
          <w:rFonts w:hint="eastAsia" w:ascii="黑体" w:hAnsi="宋体" w:eastAsia="黑体" w:cs="黑体"/>
          <w:i w:val="0"/>
          <w:iCs w:val="0"/>
          <w:caps w:val="0"/>
          <w:color w:val="484848"/>
          <w:spacing w:val="0"/>
          <w:sz w:val="32"/>
          <w:szCs w:val="32"/>
        </w:rPr>
        <w:t>　　三、加强基层机构预防接种单位管理</w:t>
      </w:r>
      <w:r>
        <w:rPr>
          <w:rFonts w:hint="eastAsia" w:ascii="仿宋" w:hAnsi="仿宋" w:eastAsia="仿宋" w:cs="仿宋"/>
          <w:i w:val="0"/>
          <w:iCs w:val="0"/>
          <w:caps w:val="0"/>
          <w:color w:val="484848"/>
          <w:spacing w:val="0"/>
          <w:sz w:val="32"/>
          <w:szCs w:val="32"/>
        </w:rPr>
        <w:br w:type="textWrapping"/>
      </w:r>
      <w:r>
        <w:rPr>
          <w:rFonts w:hint="eastAsia" w:ascii="仿宋" w:hAnsi="仿宋" w:eastAsia="仿宋" w:cs="仿宋"/>
          <w:i w:val="0"/>
          <w:iCs w:val="0"/>
          <w:caps w:val="0"/>
          <w:color w:val="484848"/>
          <w:spacing w:val="0"/>
          <w:sz w:val="32"/>
          <w:szCs w:val="32"/>
        </w:rPr>
        <w:t>　　各级基层卫生健康行政部门要配合相关部门加强预防接种信息化建设，促进疫苗生产、流通、使用全程可追溯管理。要指导设立在社区卫生服务中心、乡镇卫生院的接种单位的日常管理和预防接种工作风险防范与应急处置。强化主体责任，严格落实《疫苗流通与预防接种管理条例》等法律法规和工作规范。优化细化接种流程，在落实“三查七对”的基础上，增加“一验证”环节，在接种疫苗前请接种者或监护人验证接种的疫苗种类和有效期等，确保接种无误。加强对医务人员的培训，提高规范开展预防接种的技能和水平。</w:t>
      </w:r>
      <w:r>
        <w:rPr>
          <w:rFonts w:hint="eastAsia" w:ascii="仿宋" w:hAnsi="仿宋" w:eastAsia="仿宋" w:cs="仿宋"/>
          <w:i w:val="0"/>
          <w:iCs w:val="0"/>
          <w:caps w:val="0"/>
          <w:color w:val="484848"/>
          <w:spacing w:val="0"/>
          <w:sz w:val="32"/>
          <w:szCs w:val="32"/>
        </w:rPr>
        <w:br w:type="textWrapping"/>
      </w:r>
      <w:r>
        <w:rPr>
          <w:rFonts w:hint="eastAsia" w:ascii="黑体" w:hAnsi="宋体" w:eastAsia="黑体" w:cs="黑体"/>
          <w:i w:val="0"/>
          <w:iCs w:val="0"/>
          <w:caps w:val="0"/>
          <w:color w:val="484848"/>
          <w:spacing w:val="0"/>
          <w:sz w:val="32"/>
          <w:szCs w:val="32"/>
        </w:rPr>
        <w:t>　　四、积极稳妥推进电子健康档案向个人开放</w:t>
      </w:r>
      <w:r>
        <w:rPr>
          <w:rFonts w:hint="eastAsia" w:ascii="仿宋" w:hAnsi="仿宋" w:eastAsia="仿宋" w:cs="仿宋"/>
          <w:i w:val="0"/>
          <w:iCs w:val="0"/>
          <w:caps w:val="0"/>
          <w:color w:val="484848"/>
          <w:spacing w:val="0"/>
          <w:sz w:val="32"/>
          <w:szCs w:val="32"/>
        </w:rPr>
        <w:br w:type="textWrapping"/>
      </w:r>
      <w:r>
        <w:rPr>
          <w:rFonts w:hint="eastAsia" w:ascii="仿宋" w:hAnsi="仿宋" w:eastAsia="仿宋" w:cs="仿宋"/>
          <w:i w:val="0"/>
          <w:iCs w:val="0"/>
          <w:caps w:val="0"/>
          <w:color w:val="484848"/>
          <w:spacing w:val="0"/>
          <w:sz w:val="32"/>
          <w:szCs w:val="32"/>
        </w:rPr>
        <w:t>　　优化电子健康档案面向个人开放服务的渠道和交互形式，坚持安全、便捷的原则，为群众利用电子健康档案创造条件。进一步明确电子健康档案向个人开放的内容，档案中的个人基本信息、健康体检信息、重点人群健康管理记录和其他医疗卫生服务记录应当在本人或者其监护人知情同意的基础上依法依规向个人开放。发挥“互联网+”的优势，结合本地实际情况整合预约挂号、在线健康状况评估、检验结果在线查询、用药指导等功能，提高群众对电子健康档案的利用率。合理量化基层医疗卫生机构和医务人员依托电子健康档案提供线上服务的工作量，发挥绩效评价的激励作用。各地在推进工作中，要贯彻落实《全国基层医疗卫生机构信息化建设标准与规范》（国卫规划函〔2019〕87号）和国家网络安全法律法规和等级保护制度要求，落实安全管理责任，妥善处理电子健康档案向个人开放和保障公民个人信息安全的关系。</w:t>
      </w:r>
      <w:r>
        <w:rPr>
          <w:rFonts w:hint="eastAsia" w:ascii="仿宋" w:hAnsi="仿宋" w:eastAsia="仿宋" w:cs="仿宋"/>
          <w:i w:val="0"/>
          <w:iCs w:val="0"/>
          <w:caps w:val="0"/>
          <w:color w:val="484848"/>
          <w:spacing w:val="0"/>
          <w:sz w:val="32"/>
          <w:szCs w:val="32"/>
        </w:rPr>
        <w:br w:type="textWrapping"/>
      </w:r>
      <w:r>
        <w:rPr>
          <w:rFonts w:hint="eastAsia" w:ascii="黑体" w:hAnsi="宋体" w:eastAsia="黑体" w:cs="黑体"/>
          <w:i w:val="0"/>
          <w:iCs w:val="0"/>
          <w:caps w:val="0"/>
          <w:color w:val="484848"/>
          <w:spacing w:val="0"/>
          <w:sz w:val="32"/>
          <w:szCs w:val="32"/>
        </w:rPr>
        <w:t>　　五、以高血压、糖尿病等慢性病为突破口促进医防融合</w:t>
      </w:r>
      <w:r>
        <w:rPr>
          <w:rFonts w:hint="eastAsia" w:ascii="仿宋" w:hAnsi="仿宋" w:eastAsia="仿宋" w:cs="仿宋"/>
          <w:i w:val="0"/>
          <w:iCs w:val="0"/>
          <w:caps w:val="0"/>
          <w:color w:val="484848"/>
          <w:spacing w:val="0"/>
          <w:sz w:val="32"/>
          <w:szCs w:val="32"/>
        </w:rPr>
        <w:br w:type="textWrapping"/>
      </w:r>
      <w:r>
        <w:rPr>
          <w:rFonts w:hint="eastAsia" w:ascii="仿宋" w:hAnsi="仿宋" w:eastAsia="仿宋" w:cs="仿宋"/>
          <w:i w:val="0"/>
          <w:iCs w:val="0"/>
          <w:caps w:val="0"/>
          <w:color w:val="484848"/>
          <w:spacing w:val="0"/>
          <w:sz w:val="32"/>
          <w:szCs w:val="32"/>
        </w:rPr>
        <w:t>　　2019年，继续以高血压、糖尿病等慢性病管理为突破口探索基层医防融合服务模式，推动“上下分开”。山西、辽宁、广东、重庆、贵州、云南、陕西等7省份要发挥基层高血压医防融合试点的作用，转变服务提供模式，发挥家庭医生团队优势，明确团队中医生在开展医防融合管理中的主导作用；推动建立基层机构与上级医疗机构的双向协作和转诊机制，积极发挥疾控机构的技术指导作用。其他省份要参照这7个省份的试点要求继续开展基层高血压医防融合探索。</w:t>
      </w:r>
      <w:r>
        <w:rPr>
          <w:rFonts w:hint="eastAsia" w:ascii="仿宋" w:hAnsi="仿宋" w:eastAsia="仿宋" w:cs="仿宋"/>
          <w:i w:val="0"/>
          <w:iCs w:val="0"/>
          <w:caps w:val="0"/>
          <w:color w:val="484848"/>
          <w:spacing w:val="0"/>
          <w:sz w:val="32"/>
          <w:szCs w:val="32"/>
        </w:rPr>
        <w:br w:type="textWrapping"/>
      </w:r>
      <w:r>
        <w:rPr>
          <w:rFonts w:hint="eastAsia" w:ascii="仿宋" w:hAnsi="仿宋" w:eastAsia="仿宋" w:cs="仿宋"/>
          <w:i w:val="0"/>
          <w:iCs w:val="0"/>
          <w:caps w:val="0"/>
          <w:color w:val="484848"/>
          <w:spacing w:val="0"/>
          <w:sz w:val="32"/>
          <w:szCs w:val="32"/>
        </w:rPr>
        <w:t>　　2019年，启动基层糖尿病医防融合管理工作，各地要将中华医学会发布的《国家基层糖尿病防治管理指南（2018）》作为开展基层糖尿病医防融合的技术指南，组织开展师资和基层医务人员培训。国家卫生健康委将遴选部分信息化基础较好、基层医疗服务能力较强的地市开展试点，请有意愿的省份于2019年9月底前提交申报材料。国家卫生健康委委托国家心血管病中心和中华医学会将分别建立高血压、糖尿病质控监测系统，各地要做好区域卫生健康信息系统与高血压、糖尿病质控监测系统的衔接，推动高血压、糖尿病医防融合管理数据共享。</w:t>
      </w:r>
      <w:r>
        <w:rPr>
          <w:rFonts w:hint="eastAsia" w:ascii="仿宋" w:hAnsi="仿宋" w:eastAsia="仿宋" w:cs="仿宋"/>
          <w:i w:val="0"/>
          <w:iCs w:val="0"/>
          <w:caps w:val="0"/>
          <w:color w:val="484848"/>
          <w:spacing w:val="0"/>
          <w:sz w:val="32"/>
          <w:szCs w:val="32"/>
        </w:rPr>
        <w:br w:type="textWrapping"/>
      </w:r>
      <w:r>
        <w:rPr>
          <w:rFonts w:hint="eastAsia" w:ascii="黑体" w:hAnsi="宋体" w:eastAsia="黑体" w:cs="黑体"/>
          <w:i w:val="0"/>
          <w:iCs w:val="0"/>
          <w:caps w:val="0"/>
          <w:color w:val="484848"/>
          <w:spacing w:val="0"/>
          <w:sz w:val="32"/>
          <w:szCs w:val="32"/>
        </w:rPr>
        <w:t>　　六、创新绩效评价方式方法</w:t>
      </w:r>
      <w:r>
        <w:rPr>
          <w:rFonts w:hint="eastAsia" w:ascii="仿宋" w:hAnsi="仿宋" w:eastAsia="仿宋" w:cs="仿宋"/>
          <w:i w:val="0"/>
          <w:iCs w:val="0"/>
          <w:caps w:val="0"/>
          <w:color w:val="484848"/>
          <w:spacing w:val="0"/>
          <w:sz w:val="32"/>
          <w:szCs w:val="32"/>
        </w:rPr>
        <w:br w:type="textWrapping"/>
      </w:r>
      <w:r>
        <w:rPr>
          <w:rFonts w:hint="eastAsia" w:ascii="仿宋" w:hAnsi="仿宋" w:eastAsia="仿宋" w:cs="仿宋"/>
          <w:i w:val="0"/>
          <w:iCs w:val="0"/>
          <w:caps w:val="0"/>
          <w:color w:val="484848"/>
          <w:spacing w:val="0"/>
          <w:sz w:val="32"/>
          <w:szCs w:val="32"/>
        </w:rPr>
        <w:t>　　落实《中共中央、国务院关于全面实施预算绩效管理的意见》，加强项目绩效评价，充分发挥信息化技术在绩效评价中的作用，减少现场评价，提高绩效评价的效率和质量，确有必要的，组织人员到现场进行核实。县（市、区）要落实对项目绩效评价的主体责任，科学合理制订绩效指标，每年至少要对辖区所有承担任务的医疗卫生机构开展一次综合绩效评价。加强项目的效果评价和成本效益分析，突出居民感受度和获得感。利用好绩效评价结果，将评价结果与拨付挂钩。明确乡村两级任务分工，对村级承担的基本公共卫生服务任务，要在开展绩效评价后根据结果及时拨付，切实落实补助经费，保障乡村医生的合法权益，严禁无故克扣乡村医生基本公共卫生服务补助。各地要积极组织开展项目十年评估，要充分利用日常数据信息，注重连续、动态健康管理信息挖掘，充分利用图表、数据、典型案例等形式，集中反映项目实施以来在促进本辖区基本公共卫生服务均等化方面的成效，客观分析存在的问题，并有针对性地提出政策建议。省级项目评估报告要于9月底前报送国家卫生健康委。</w:t>
      </w:r>
      <w:r>
        <w:rPr>
          <w:rFonts w:hint="eastAsia" w:ascii="仿宋" w:hAnsi="仿宋" w:eastAsia="仿宋" w:cs="仿宋"/>
          <w:i w:val="0"/>
          <w:iCs w:val="0"/>
          <w:caps w:val="0"/>
          <w:color w:val="484848"/>
          <w:spacing w:val="0"/>
          <w:sz w:val="32"/>
          <w:szCs w:val="32"/>
        </w:rPr>
        <w:br w:type="textWrapping"/>
      </w:r>
      <w:r>
        <w:rPr>
          <w:rFonts w:hint="eastAsia" w:ascii="黑体" w:hAnsi="宋体" w:eastAsia="黑体" w:cs="黑体"/>
          <w:i w:val="0"/>
          <w:iCs w:val="0"/>
          <w:caps w:val="0"/>
          <w:color w:val="484848"/>
          <w:spacing w:val="0"/>
          <w:sz w:val="32"/>
          <w:szCs w:val="32"/>
        </w:rPr>
        <w:t>　　七、切实减轻基层负担</w:t>
      </w:r>
      <w:r>
        <w:rPr>
          <w:rFonts w:hint="eastAsia" w:ascii="仿宋" w:hAnsi="仿宋" w:eastAsia="仿宋" w:cs="仿宋"/>
          <w:i w:val="0"/>
          <w:iCs w:val="0"/>
          <w:caps w:val="0"/>
          <w:color w:val="484848"/>
          <w:spacing w:val="0"/>
          <w:sz w:val="32"/>
          <w:szCs w:val="32"/>
        </w:rPr>
        <w:br w:type="textWrapping"/>
      </w:r>
      <w:r>
        <w:rPr>
          <w:rFonts w:hint="eastAsia" w:ascii="仿宋" w:hAnsi="仿宋" w:eastAsia="仿宋" w:cs="仿宋"/>
          <w:i w:val="0"/>
          <w:iCs w:val="0"/>
          <w:caps w:val="0"/>
          <w:color w:val="484848"/>
          <w:spacing w:val="0"/>
          <w:sz w:val="32"/>
          <w:szCs w:val="32"/>
        </w:rPr>
        <w:t>　　落实中共中央办公厅《关于解决形式主义突出问题为基层减负的通知》要求，创新工作方式方法，加强基本公共卫生服务信息系统建设，注重与医疗卫生机构和妇幼健康信息系统数据共享、业务协同。按照一数一源、一源多用的原则，清理基层机构反映强烈的报表繁多、多头填报、填报频次过多等问题，力争实现同类信息“只填一次”。电子健康档案完善并可向个人开放的地方，由省级卫生健康行政部门评估后，可取消相应的纸质档案。2019年，将各地按季度向国家基本公共卫生服务项目管理信息系统（</w:t>
      </w:r>
      <w:r>
        <w:rPr>
          <w:rFonts w:ascii="微软雅黑" w:hAnsi="微软雅黑" w:eastAsia="微软雅黑" w:cs="微软雅黑"/>
          <w:i w:val="0"/>
          <w:iCs w:val="0"/>
          <w:caps w:val="0"/>
          <w:color w:val="484848"/>
          <w:spacing w:val="0"/>
          <w:sz w:val="32"/>
          <w:szCs w:val="32"/>
          <w:u w:val="none"/>
        </w:rPr>
        <w:fldChar w:fldCharType="begin"/>
      </w:r>
      <w:r>
        <w:rPr>
          <w:rFonts w:ascii="微软雅黑" w:hAnsi="微软雅黑" w:eastAsia="微软雅黑" w:cs="微软雅黑"/>
          <w:i w:val="0"/>
          <w:iCs w:val="0"/>
          <w:caps w:val="0"/>
          <w:color w:val="484848"/>
          <w:spacing w:val="0"/>
          <w:sz w:val="32"/>
          <w:szCs w:val="32"/>
          <w:u w:val="none"/>
        </w:rPr>
        <w:instrText xml:space="preserve"> HYPERLINK "http://glpt.nbphsp.org.cn/" </w:instrText>
      </w:r>
      <w:r>
        <w:rPr>
          <w:rFonts w:ascii="微软雅黑" w:hAnsi="微软雅黑" w:eastAsia="微软雅黑" w:cs="微软雅黑"/>
          <w:i w:val="0"/>
          <w:iCs w:val="0"/>
          <w:caps w:val="0"/>
          <w:color w:val="484848"/>
          <w:spacing w:val="0"/>
          <w:sz w:val="32"/>
          <w:szCs w:val="32"/>
          <w:u w:val="none"/>
        </w:rPr>
        <w:fldChar w:fldCharType="separate"/>
      </w:r>
      <w:r>
        <w:rPr>
          <w:rStyle w:val="5"/>
          <w:rFonts w:hint="eastAsia" w:ascii="微软雅黑" w:hAnsi="微软雅黑" w:eastAsia="微软雅黑" w:cs="微软雅黑"/>
          <w:i w:val="0"/>
          <w:iCs w:val="0"/>
          <w:caps w:val="0"/>
          <w:color w:val="484848"/>
          <w:spacing w:val="0"/>
          <w:sz w:val="32"/>
          <w:szCs w:val="32"/>
          <w:u w:val="none"/>
        </w:rPr>
        <w:t>http://glpt.nbphsp.org.cn</w:t>
      </w:r>
      <w:r>
        <w:rPr>
          <w:rFonts w:hint="eastAsia" w:ascii="微软雅黑" w:hAnsi="微软雅黑" w:eastAsia="微软雅黑" w:cs="微软雅黑"/>
          <w:i w:val="0"/>
          <w:iCs w:val="0"/>
          <w:caps w:val="0"/>
          <w:color w:val="484848"/>
          <w:spacing w:val="0"/>
          <w:sz w:val="32"/>
          <w:szCs w:val="32"/>
          <w:u w:val="none"/>
        </w:rPr>
        <w:fldChar w:fldCharType="end"/>
      </w:r>
      <w:r>
        <w:rPr>
          <w:rFonts w:hint="eastAsia" w:ascii="仿宋" w:hAnsi="仿宋" w:eastAsia="仿宋" w:cs="仿宋"/>
          <w:i w:val="0"/>
          <w:iCs w:val="0"/>
          <w:caps w:val="0"/>
          <w:color w:val="484848"/>
          <w:spacing w:val="0"/>
          <w:sz w:val="32"/>
          <w:szCs w:val="32"/>
        </w:rPr>
        <w:t>）报送的项目进展数据，改为每半年报送一次。强化基层机构报表归口管理，新增报表须经上一级基层卫生健康管理部门审核后下发，杜绝重复下发、重复填报，提高工作效率和质量，切实减轻基层负担。</w:t>
      </w:r>
      <w:r>
        <w:rPr>
          <w:rFonts w:hint="eastAsia" w:ascii="仿宋" w:hAnsi="仿宋" w:eastAsia="仿宋" w:cs="仿宋"/>
          <w:i w:val="0"/>
          <w:iCs w:val="0"/>
          <w:caps w:val="0"/>
          <w:color w:val="484848"/>
          <w:spacing w:val="0"/>
          <w:sz w:val="32"/>
          <w:szCs w:val="32"/>
        </w:rPr>
        <w:br w:type="textWrapping"/>
      </w:r>
      <w:r>
        <w:rPr>
          <w:rFonts w:hint="eastAsia" w:ascii="黑体" w:hAnsi="宋体" w:eastAsia="黑体" w:cs="黑体"/>
          <w:i w:val="0"/>
          <w:iCs w:val="0"/>
          <w:caps w:val="0"/>
          <w:color w:val="484848"/>
          <w:spacing w:val="0"/>
          <w:sz w:val="32"/>
          <w:szCs w:val="32"/>
        </w:rPr>
        <w:t>　　八、充分发挥疾控等专业公共卫生机构的作用</w:t>
      </w:r>
      <w:r>
        <w:rPr>
          <w:rFonts w:hint="eastAsia" w:ascii="仿宋" w:hAnsi="仿宋" w:eastAsia="仿宋" w:cs="仿宋"/>
          <w:i w:val="0"/>
          <w:iCs w:val="0"/>
          <w:caps w:val="0"/>
          <w:color w:val="484848"/>
          <w:spacing w:val="0"/>
          <w:sz w:val="32"/>
          <w:szCs w:val="32"/>
        </w:rPr>
        <w:br w:type="textWrapping"/>
      </w:r>
      <w:r>
        <w:rPr>
          <w:rFonts w:hint="eastAsia" w:ascii="仿宋" w:hAnsi="仿宋" w:eastAsia="仿宋" w:cs="仿宋"/>
          <w:i w:val="0"/>
          <w:iCs w:val="0"/>
          <w:caps w:val="0"/>
          <w:color w:val="484848"/>
          <w:spacing w:val="0"/>
          <w:sz w:val="32"/>
          <w:szCs w:val="32"/>
        </w:rPr>
        <w:t>　　加强县级专业公共卫生机构对基本公共卫生服务技术指导，提升基层医疗卫生机构相关工作的服务规范化水平。各地可结合实际，依托疾控机构等成立本辖区基本公共卫生服务项目技术专家团队，制订本辖区年度基本公共卫生服务项目指导方案，包括技能培训、技术指导等，以保障和增强服务的质量和效率，增加居民获得感，让基层群众切实受益。</w:t>
      </w:r>
      <w:r>
        <w:rPr>
          <w:rFonts w:hint="eastAsia" w:ascii="仿宋" w:hAnsi="仿宋" w:eastAsia="仿宋" w:cs="仿宋"/>
          <w:i w:val="0"/>
          <w:iCs w:val="0"/>
          <w:caps w:val="0"/>
          <w:color w:val="484848"/>
          <w:spacing w:val="0"/>
          <w:sz w:val="32"/>
          <w:szCs w:val="32"/>
        </w:rPr>
        <w:br w:type="textWrapping"/>
      </w:r>
      <w:r>
        <w:rPr>
          <w:rFonts w:hint="eastAsia" w:ascii="黑体" w:hAnsi="宋体" w:eastAsia="黑体" w:cs="黑体"/>
          <w:i w:val="0"/>
          <w:iCs w:val="0"/>
          <w:caps w:val="0"/>
          <w:color w:val="484848"/>
          <w:spacing w:val="0"/>
          <w:sz w:val="32"/>
          <w:szCs w:val="32"/>
        </w:rPr>
        <w:t>　　九、加大宣传力度</w:t>
      </w:r>
      <w:r>
        <w:rPr>
          <w:rFonts w:hint="eastAsia" w:ascii="仿宋" w:hAnsi="仿宋" w:eastAsia="仿宋" w:cs="仿宋"/>
          <w:i w:val="0"/>
          <w:iCs w:val="0"/>
          <w:caps w:val="0"/>
          <w:color w:val="484848"/>
          <w:spacing w:val="0"/>
          <w:sz w:val="32"/>
          <w:szCs w:val="32"/>
        </w:rPr>
        <w:br w:type="textWrapping"/>
      </w:r>
      <w:r>
        <w:rPr>
          <w:rFonts w:hint="eastAsia" w:ascii="仿宋" w:hAnsi="仿宋" w:eastAsia="仿宋" w:cs="仿宋"/>
          <w:i w:val="0"/>
          <w:iCs w:val="0"/>
          <w:caps w:val="0"/>
          <w:color w:val="484848"/>
          <w:spacing w:val="0"/>
          <w:sz w:val="32"/>
          <w:szCs w:val="32"/>
        </w:rPr>
        <w:t>　　持之以恒开展项目宣传，着力提高项目知晓度和群众感受度。2019年，各省份要将提供基本公共卫生服务机构的基本信息（包括机构信息、地址、联系电话、承担项目的内容等）提交国家基本公共卫生服务项目管理信息系统，国家卫生健康委将统一向社会公开，方便群众查询。县（市、区）和基层医疗卫生机构要在显著位置张贴由国家卫生健康委或省级卫生健康行政部门统一制作的宣传壁报；使用基本公共卫生服务经费开展工作的，应当在宣传材料显著位置以醒目字体明示“基本公共卫生服务项目”；广泛播放国家卫生健康委制作的基本公共卫生服务项目公益广告。鼓励基层医疗卫生机构分类细化服务内容，开展个性化宣传，有条件的可定期向辖区居民推送健康教育信息。</w:t>
      </w:r>
      <w:r>
        <w:rPr>
          <w:rFonts w:hint="eastAsia" w:ascii="仿宋" w:hAnsi="仿宋" w:eastAsia="仿宋" w:cs="仿宋"/>
          <w:i w:val="0"/>
          <w:iCs w:val="0"/>
          <w:caps w:val="0"/>
          <w:color w:val="484848"/>
          <w:spacing w:val="0"/>
          <w:sz w:val="32"/>
          <w:szCs w:val="32"/>
        </w:rPr>
        <w:br w:type="textWrapping"/>
      </w:r>
      <w:r>
        <w:rPr>
          <w:rFonts w:hint="eastAsia" w:ascii="仿宋" w:hAnsi="仿宋" w:eastAsia="仿宋" w:cs="仿宋"/>
          <w:i w:val="0"/>
          <w:iCs w:val="0"/>
          <w:caps w:val="0"/>
          <w:color w:val="484848"/>
          <w:spacing w:val="0"/>
          <w:sz w:val="32"/>
          <w:szCs w:val="32"/>
        </w:rPr>
        <w:t> </w:t>
      </w:r>
      <w:r>
        <w:rPr>
          <w:rFonts w:hint="eastAsia" w:ascii="仿宋" w:hAnsi="仿宋" w:eastAsia="仿宋" w:cs="仿宋"/>
          <w:i w:val="0"/>
          <w:iCs w:val="0"/>
          <w:caps w:val="0"/>
          <w:color w:val="484848"/>
          <w:spacing w:val="0"/>
          <w:sz w:val="32"/>
          <w:szCs w:val="32"/>
        </w:rPr>
        <w:br w:type="textWrapping"/>
      </w:r>
      <w:r>
        <w:rPr>
          <w:rFonts w:hint="eastAsia" w:ascii="仿宋" w:hAnsi="仿宋" w:eastAsia="仿宋" w:cs="仿宋"/>
          <w:i w:val="0"/>
          <w:iCs w:val="0"/>
          <w:caps w:val="0"/>
          <w:color w:val="484848"/>
          <w:spacing w:val="0"/>
          <w:sz w:val="32"/>
          <w:szCs w:val="32"/>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both"/>
        <w:rPr>
          <w:rFonts w:hint="eastAsia" w:ascii="仿宋" w:hAnsi="仿宋" w:eastAsia="仿宋" w:cs="仿宋"/>
          <w:color w:val="484848"/>
          <w:sz w:val="32"/>
          <w:szCs w:val="32"/>
        </w:rPr>
      </w:pPr>
      <w:r>
        <w:rPr>
          <w:rFonts w:hint="eastAsia" w:ascii="仿宋" w:hAnsi="仿宋" w:eastAsia="仿宋" w:cs="仿宋"/>
          <w:i w:val="0"/>
          <w:iCs w:val="0"/>
          <w:caps w:val="0"/>
          <w:color w:val="484848"/>
          <w:spacing w:val="0"/>
          <w:sz w:val="32"/>
          <w:szCs w:val="32"/>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firstLine="4480" w:firstLineChars="1400"/>
        <w:jc w:val="both"/>
        <w:rPr>
          <w:rFonts w:hint="eastAsia" w:ascii="仿宋" w:hAnsi="仿宋" w:eastAsia="仿宋" w:cs="仿宋"/>
          <w:i w:val="0"/>
          <w:iCs w:val="0"/>
          <w:caps w:val="0"/>
          <w:color w:val="484848"/>
          <w:spacing w:val="0"/>
          <w:sz w:val="32"/>
          <w:szCs w:val="32"/>
          <w:lang w:val="en-US" w:eastAsia="zh-CN"/>
        </w:rPr>
      </w:pPr>
      <w:r>
        <w:rPr>
          <w:rFonts w:hint="eastAsia" w:ascii="仿宋" w:hAnsi="仿宋" w:eastAsia="仿宋" w:cs="仿宋"/>
          <w:i w:val="0"/>
          <w:iCs w:val="0"/>
          <w:caps w:val="0"/>
          <w:color w:val="484848"/>
          <w:spacing w:val="0"/>
          <w:sz w:val="32"/>
          <w:szCs w:val="32"/>
        </w:rPr>
        <w:t>国家卫生健康委         </w:t>
      </w:r>
      <w:r>
        <w:rPr>
          <w:rFonts w:hint="eastAsia" w:ascii="仿宋" w:hAnsi="仿宋" w:eastAsia="仿宋" w:cs="仿宋"/>
          <w:i w:val="0"/>
          <w:iCs w:val="0"/>
          <w:caps w:val="0"/>
          <w:color w:val="484848"/>
          <w:spacing w:val="0"/>
          <w:sz w:val="32"/>
          <w:szCs w:val="32"/>
          <w:lang w:val="en-US" w:eastAsia="zh-CN"/>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right="0" w:firstLine="4480" w:firstLineChars="1400"/>
        <w:jc w:val="both"/>
        <w:rPr>
          <w:rFonts w:hint="eastAsia" w:ascii="仿宋" w:hAnsi="仿宋" w:eastAsia="仿宋" w:cs="仿宋"/>
          <w:color w:val="484848"/>
          <w:sz w:val="32"/>
          <w:szCs w:val="32"/>
        </w:rPr>
      </w:pPr>
      <w:bookmarkStart w:id="0" w:name="_GoBack"/>
      <w:bookmarkEnd w:id="0"/>
      <w:r>
        <w:rPr>
          <w:rFonts w:hint="eastAsia" w:ascii="仿宋" w:hAnsi="仿宋" w:eastAsia="仿宋" w:cs="仿宋"/>
          <w:i w:val="0"/>
          <w:iCs w:val="0"/>
          <w:caps w:val="0"/>
          <w:color w:val="484848"/>
          <w:spacing w:val="0"/>
          <w:sz w:val="32"/>
          <w:szCs w:val="32"/>
        </w:rPr>
        <w:t>财</w:t>
      </w:r>
      <w:r>
        <w:rPr>
          <w:rFonts w:hint="eastAsia" w:ascii="仿宋" w:hAnsi="仿宋" w:eastAsia="仿宋" w:cs="仿宋"/>
          <w:i w:val="0"/>
          <w:iCs w:val="0"/>
          <w:caps w:val="0"/>
          <w:color w:val="484848"/>
          <w:spacing w:val="0"/>
          <w:sz w:val="32"/>
          <w:szCs w:val="32"/>
          <w:lang w:val="en-US" w:eastAsia="zh-CN"/>
        </w:rPr>
        <w:t xml:space="preserve">  </w:t>
      </w:r>
      <w:r>
        <w:rPr>
          <w:rFonts w:hint="eastAsia" w:ascii="仿宋" w:hAnsi="仿宋" w:eastAsia="仿宋" w:cs="仿宋"/>
          <w:i w:val="0"/>
          <w:iCs w:val="0"/>
          <w:caps w:val="0"/>
          <w:color w:val="484848"/>
          <w:spacing w:val="0"/>
          <w:sz w:val="32"/>
          <w:szCs w:val="32"/>
        </w:rPr>
        <w:t>政</w:t>
      </w:r>
      <w:r>
        <w:rPr>
          <w:rFonts w:hint="eastAsia" w:ascii="仿宋" w:hAnsi="仿宋" w:eastAsia="仿宋" w:cs="仿宋"/>
          <w:i w:val="0"/>
          <w:iCs w:val="0"/>
          <w:caps w:val="0"/>
          <w:color w:val="484848"/>
          <w:spacing w:val="0"/>
          <w:sz w:val="32"/>
          <w:szCs w:val="32"/>
          <w:lang w:val="en-US" w:eastAsia="zh-CN"/>
        </w:rPr>
        <w:t xml:space="preserve">  </w:t>
      </w:r>
      <w:r>
        <w:rPr>
          <w:rFonts w:hint="eastAsia" w:ascii="仿宋" w:hAnsi="仿宋" w:eastAsia="仿宋" w:cs="仿宋"/>
          <w:i w:val="0"/>
          <w:iCs w:val="0"/>
          <w:caps w:val="0"/>
          <w:color w:val="484848"/>
          <w:spacing w:val="0"/>
          <w:sz w:val="32"/>
          <w:szCs w:val="32"/>
        </w:rPr>
        <w:t>部 </w:t>
      </w:r>
      <w:r>
        <w:rPr>
          <w:rFonts w:hint="eastAsia" w:ascii="仿宋" w:hAnsi="仿宋" w:eastAsia="仿宋" w:cs="仿宋"/>
          <w:i w:val="0"/>
          <w:iCs w:val="0"/>
          <w:caps w:val="0"/>
          <w:color w:val="484848"/>
          <w:spacing w:val="0"/>
          <w:sz w:val="32"/>
          <w:szCs w:val="32"/>
        </w:rPr>
        <w:br w:type="textWrapping"/>
      </w:r>
      <w:r>
        <w:rPr>
          <w:rFonts w:hint="eastAsia" w:ascii="仿宋" w:hAnsi="仿宋" w:eastAsia="仿宋" w:cs="仿宋"/>
          <w:i w:val="0"/>
          <w:iCs w:val="0"/>
          <w:caps w:val="0"/>
          <w:color w:val="484848"/>
          <w:spacing w:val="0"/>
          <w:sz w:val="32"/>
          <w:szCs w:val="32"/>
        </w:rPr>
        <w:t>                    </w:t>
      </w:r>
      <w:r>
        <w:rPr>
          <w:rFonts w:hint="eastAsia" w:ascii="仿宋" w:hAnsi="仿宋" w:eastAsia="仿宋" w:cs="仿宋"/>
          <w:i w:val="0"/>
          <w:iCs w:val="0"/>
          <w:caps w:val="0"/>
          <w:color w:val="484848"/>
          <w:spacing w:val="0"/>
          <w:sz w:val="32"/>
          <w:szCs w:val="32"/>
          <w:lang w:val="en-US" w:eastAsia="zh-CN"/>
        </w:rPr>
        <w:t xml:space="preserve">       </w:t>
      </w:r>
      <w:r>
        <w:rPr>
          <w:rFonts w:hint="eastAsia" w:ascii="仿宋" w:hAnsi="仿宋" w:eastAsia="仿宋" w:cs="仿宋"/>
          <w:i w:val="0"/>
          <w:iCs w:val="0"/>
          <w:caps w:val="0"/>
          <w:color w:val="484848"/>
          <w:spacing w:val="0"/>
          <w:sz w:val="32"/>
          <w:szCs w:val="32"/>
        </w:rPr>
        <w:t> 国家中医药局</w:t>
      </w:r>
      <w:r>
        <w:rPr>
          <w:rFonts w:hint="eastAsia" w:ascii="仿宋" w:hAnsi="仿宋" w:eastAsia="仿宋" w:cs="仿宋"/>
          <w:i w:val="0"/>
          <w:iCs w:val="0"/>
          <w:caps w:val="0"/>
          <w:color w:val="484848"/>
          <w:spacing w:val="0"/>
          <w:sz w:val="32"/>
          <w:szCs w:val="32"/>
        </w:rPr>
        <w:br w:type="textWrapping"/>
      </w:r>
      <w:r>
        <w:rPr>
          <w:rFonts w:hint="eastAsia" w:ascii="仿宋" w:hAnsi="仿宋" w:eastAsia="仿宋" w:cs="仿宋"/>
          <w:i w:val="0"/>
          <w:iCs w:val="0"/>
          <w:caps w:val="0"/>
          <w:color w:val="484848"/>
          <w:spacing w:val="0"/>
          <w:sz w:val="32"/>
          <w:szCs w:val="32"/>
          <w:lang w:val="en-US" w:eastAsia="zh-CN"/>
        </w:rPr>
        <w:t xml:space="preserve">                            </w:t>
      </w:r>
      <w:r>
        <w:rPr>
          <w:rFonts w:hint="eastAsia" w:ascii="仿宋" w:hAnsi="仿宋" w:eastAsia="仿宋" w:cs="仿宋"/>
          <w:i w:val="0"/>
          <w:iCs w:val="0"/>
          <w:caps w:val="0"/>
          <w:color w:val="484848"/>
          <w:spacing w:val="0"/>
          <w:sz w:val="32"/>
          <w:szCs w:val="32"/>
        </w:rPr>
        <w:t>2019年8月30日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476862"/>
    <w:rsid w:val="0C2B47B2"/>
    <w:rsid w:val="4C476862"/>
    <w:rsid w:val="5A7B4FFF"/>
    <w:rsid w:val="5E5221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2023-11-06T07:52:00Z</dcterms:created>
  <dc:creator>Administrator</dc:creator>
  <cp:lastModifiedBy>Administrator</cp:lastModifiedBy>
  <dcterms:modified xsi:type="dcterms:W3CDTF">2023-11-07T01:41:08Z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