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潘河乡</w:t>
      </w:r>
      <w:r>
        <w:rPr>
          <w:rFonts w:hint="eastAsia" w:ascii="方正小标宋简体" w:hAnsi="方正小标宋简体" w:eastAsia="方正小标宋简体" w:cs="方正小标宋简体"/>
          <w:b/>
          <w:bCs/>
          <w:sz w:val="44"/>
          <w:szCs w:val="44"/>
          <w:lang w:val="en-US" w:eastAsia="zh-CN"/>
        </w:rPr>
        <w:t>人民政府</w:t>
      </w:r>
      <w:r>
        <w:rPr>
          <w:rFonts w:hint="eastAsia" w:ascii="方正小标宋简体" w:hAnsi="方正小标宋简体" w:eastAsia="方正小标宋简体" w:cs="方正小标宋简体"/>
          <w:b w:val="0"/>
          <w:bCs w:val="0"/>
          <w:sz w:val="44"/>
          <w:szCs w:val="44"/>
          <w:lang w:val="en-US" w:eastAsia="zh-CN"/>
        </w:rPr>
        <w:t>2024年度法治</w:t>
      </w:r>
      <w:r>
        <w:rPr>
          <w:rFonts w:hint="eastAsia" w:ascii="方正小标宋简体" w:hAnsi="方正小标宋简体" w:eastAsia="方正小标宋简体" w:cs="方正小标宋简体"/>
          <w:b/>
          <w:bCs/>
          <w:sz w:val="44"/>
          <w:szCs w:val="44"/>
          <w:lang w:val="en-US" w:eastAsia="zh-CN"/>
        </w:rPr>
        <w:t>政府</w:t>
      </w:r>
      <w:r>
        <w:rPr>
          <w:rFonts w:hint="eastAsia" w:ascii="方正小标宋简体" w:hAnsi="方正小标宋简体" w:eastAsia="方正小标宋简体" w:cs="方正小标宋简体"/>
          <w:b w:val="0"/>
          <w:bCs w:val="0"/>
          <w:sz w:val="44"/>
          <w:szCs w:val="44"/>
          <w:lang w:val="en-US" w:eastAsia="zh-CN"/>
        </w:rPr>
        <w:t>建设工作</w:t>
      </w:r>
      <w:bookmarkStart w:id="0" w:name="_GoBack"/>
      <w:bookmarkEnd w:id="0"/>
      <w:r>
        <w:rPr>
          <w:rFonts w:hint="eastAsia" w:ascii="方正小标宋简体" w:hAnsi="方正小标宋简体" w:eastAsia="方正小标宋简体" w:cs="方正小标宋简体"/>
          <w:b/>
          <w:bCs/>
          <w:sz w:val="44"/>
          <w:szCs w:val="44"/>
          <w:lang w:val="en-US" w:eastAsia="zh-CN"/>
        </w:rPr>
        <w:t>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在县委、县政府的正确领导下，坚持以习近平新时代中国特色社会主义思想为指导，深入学习宣传贯彻党的二十大精神和习近平法治思想、全面依法治国工作会议精神和上级关于法治建设系列决策部署，自觉运用法治思维和法治方式深化改革、推动发展、化解矛盾、维护稳定，不断提高广大干部群众学法、守法、尊法、用法水平，在全乡形成了严格执法、公正司法、全民守法的良好法治氛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一、加强组织领导，推进法治政府建设</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(一）制定乡政府党政主要负责人履行推进法治建设第一责任人职责规定。</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乡党委、政府充分发挥总揽全乡的领导核心作用，党委书记切实属行相关职责，将普法工作做实做细，在全乡形成“一把手”负责、分管负责人主抓、业务科室配合抓的工作机制;</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通过党委会、专题会等方式研究推进法制建设工作，通过党委会、专题会对各类法律法规进行深入学习，并依据法治要求安排部署相关工作,全年主持召开党委会专题学习习近平法治思想8次，针对干部职工、党员等群体开展专题讲座4次，组织党员干部认真学习《中国共产党章程》《中国共产党廉洁自律准则》等党内法规。全年共组织专题学习12次，参与学习党员干部达300人次;</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坚持将法治建设纳入年度工作计划，与重点工作同部署、同安排、同推进，扎实有序地推动普法工作落到实处;</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坚持“谁执法谁普法、谁主管谁普法”的普法责任机制，扎实开展普法教育工作，成立专项工作小组，强化普法工作队伍建设，结合平安乡镇建设新理念，加大法治宣传教育，有效推动法制工作的深入开展，营造“人人学法、人人守法”的良好法治氛围。利用乡村物资交流日大力宣传基层法律法治建设，在人流量密集的文化广场设立法治咨询台，为来往群众发放法治农家历、宪法读本等，一年来累计进行各种普法宣传</w:t>
      </w:r>
      <w:r>
        <w:rPr>
          <w:rFonts w:hint="default" w:ascii="仿宋_GB2312" w:hAnsi="仿宋_GB2312" w:eastAsia="仿宋_GB2312" w:cs="仿宋_GB2312"/>
          <w:sz w:val="32"/>
          <w:szCs w:val="32"/>
          <w:lang w:val="en-US" w:eastAsia="zh-CN"/>
        </w:rPr>
        <w:t>76</w:t>
      </w:r>
      <w:r>
        <w:rPr>
          <w:rFonts w:hint="eastAsia" w:ascii="仿宋_GB2312" w:hAnsi="仿宋_GB2312" w:eastAsia="仿宋_GB2312" w:cs="仿宋_GB2312"/>
          <w:sz w:val="32"/>
          <w:szCs w:val="32"/>
          <w:lang w:val="en-US" w:eastAsia="zh-CN"/>
        </w:rPr>
        <w:t>次，累计解答法律咨询人次</w:t>
      </w:r>
      <w:r>
        <w:rPr>
          <w:rFonts w:hint="default"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lang w:val="en-US" w:eastAsia="zh-CN"/>
        </w:rPr>
        <w:t>人次，普法人数累计达7000余人次.</w:t>
      </w:r>
      <w:r>
        <w:rPr>
          <w:rFonts w:hint="default" w:ascii="仿宋_GB2312" w:hAnsi="仿宋_GB2312" w:eastAsia="仿宋_GB2312" w:cs="仿宋_GB2312"/>
          <w:sz w:val="32"/>
          <w:szCs w:val="32"/>
          <w:lang w:val="en-US" w:eastAsia="zh-CN"/>
        </w:rPr>
        <w:t>全乡实现一村一法律顾问全覆盖，组建专兼职法治宣传队伍13支78人，举办法治培训2</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场1</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00余人次，全民法治意识进一步加强，依法办事氛围进一步提升。</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（二）注重公正，依法依规办事。</w:t>
      </w:r>
      <w:r>
        <w:rPr>
          <w:rFonts w:hint="eastAsia" w:ascii="仿宋_GB2312" w:hAnsi="仿宋_GB2312" w:eastAsia="仿宋_GB2312" w:cs="仿宋_GB2312"/>
          <w:sz w:val="32"/>
          <w:szCs w:val="32"/>
          <w:lang w:val="en-US" w:eastAsia="zh-CN"/>
        </w:rPr>
        <w:t>我乡在全面推进依法行政方面，坚持做到严格、依法、公开、公正的原则，严谨地开展各项依法行政工作，工作实效显著，行政执法工作规范有序。</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持续推进“最多跑一次”改革。</w:t>
      </w:r>
      <w:r>
        <w:rPr>
          <w:rFonts w:hint="eastAsia" w:ascii="仿宋_GB2312" w:hAnsi="仿宋_GB2312" w:eastAsia="仿宋_GB2312" w:cs="仿宋_GB2312"/>
          <w:sz w:val="32"/>
          <w:szCs w:val="32"/>
          <w:lang w:val="en-US" w:eastAsia="zh-CN"/>
        </w:rPr>
        <w:t>聚焦重点领域建立一体化办事规范和办理流程，推行“一窗受理”。</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加强规范性文件监督管理，严格落实规范性文件备案审查制度。通过主动审查、被动审查、重点审查等方式坚决纠正违法违规问题，切实增强备案审查实效，做到“有件必备、有备必审、有错必纠”。</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加强重大事项决策合法性审查。乡党委坚持依法决策、科学决策、民主决策，对全乡的重点问题难点问题、群众关心的热点问题等重大事项，始终坚持民主集中制，进行决策前合法性咨询论证，审查并集体讨论决定。</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（三）落实学法用法，增强干部职工法治观念。</w:t>
      </w:r>
      <w:r>
        <w:rPr>
          <w:rFonts w:hint="eastAsia" w:ascii="仿宋_GB2312" w:hAnsi="仿宋_GB2312" w:eastAsia="仿宋_GB2312" w:cs="仿宋_GB2312"/>
          <w:b/>
          <w:bCs/>
          <w:sz w:val="32"/>
          <w:szCs w:val="32"/>
          <w:lang w:val="en-US" w:eastAsia="zh-CN"/>
        </w:rPr>
        <w:t>一是尊法学法用法。</w:t>
      </w:r>
      <w:r>
        <w:rPr>
          <w:rFonts w:hint="eastAsia" w:ascii="仿宋_GB2312" w:hAnsi="仿宋_GB2312" w:eastAsia="仿宋_GB2312" w:cs="仿宋_GB2312"/>
          <w:sz w:val="32"/>
          <w:szCs w:val="32"/>
          <w:lang w:val="en-US" w:eastAsia="zh-CN"/>
        </w:rPr>
        <w:t>落实党组中心组学法和领导干部集体学法制度，把学习党章党纪和法律法规作为党组理论中心组学习和党组会议议题重要内容。围绕《国家安全法》和《民法典》的学习，在党组理论中心组学习上发言谈体会，提高运用法治思维和法治方式深化改革推动发展、化解矛盾、维护稳定、应对风险的能力。</w:t>
      </w:r>
      <w:r>
        <w:rPr>
          <w:rFonts w:hint="eastAsia" w:ascii="仿宋_GB2312" w:hAnsi="仿宋_GB2312" w:eastAsia="仿宋_GB2312" w:cs="仿宋_GB2312"/>
          <w:b/>
          <w:bCs/>
          <w:sz w:val="32"/>
          <w:szCs w:val="32"/>
          <w:lang w:val="en-US" w:eastAsia="zh-CN"/>
        </w:rPr>
        <w:t>二是广泛开展宣传。</w:t>
      </w:r>
      <w:r>
        <w:rPr>
          <w:rFonts w:hint="eastAsia" w:ascii="仿宋_GB2312" w:hAnsi="仿宋_GB2312" w:eastAsia="仿宋_GB2312" w:cs="仿宋_GB2312"/>
          <w:sz w:val="32"/>
          <w:szCs w:val="32"/>
          <w:lang w:val="en-US" w:eastAsia="zh-CN"/>
        </w:rPr>
        <w:t>结合“12.4”国家宪法日、“两节两会”、“中小学安全教育日”、“5.12”防灾减灾日、安全生产月及清明、端午等特殊节点，部署开展“八五”普法、国安宣传教育等工作，增强了全体机关干部将法律规章贯彻到实际业务工作中的能力，任务到人、责任到人，提高了工作质量和效率。</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（四）深入宣传，提高认识。</w:t>
      </w:r>
      <w:r>
        <w:rPr>
          <w:rFonts w:hint="eastAsia" w:ascii="仿宋_GB2312" w:hAnsi="仿宋_GB2312" w:eastAsia="仿宋_GB2312" w:cs="仿宋_GB2312"/>
          <w:sz w:val="32"/>
          <w:szCs w:val="32"/>
          <w:lang w:val="en-US" w:eastAsia="zh-CN"/>
        </w:rPr>
        <w:t>深入宣传实行行政执法责任制的目的、意义、内容和要求，切实提高全体行政人员对落实行政执法责任制的认识，进一步增强依法行政的自觉性、并认真落实学习制度，有计划、分阶段地组织执法人员认真学习行政执法方面的法律法规和政策规定，采取集中学、培训学等形式，及时跟进乡镇赋权执法新形势下工作特点，做到学深悟透、学有成效，积极做好赋权承接工作。组织综合行政执法大队全体人员认真学习相关赋权执法相关文件，做到学懂弄通，并灵活运用到实际工作中，做到处理问题不违反工作程序，确保工作合理合法合规。建立健全了行政决策、行政执法、行政复议等工作机制，规范行政权力运行。确保行政决策的科学化、民主化、法治化。在行政执法方面，推行了行政执法“三项制度”，即行政执法公示制度、执法全过程记录制度、重大执法决定法制审核制度。全年共受理行政许可、其他职权等89件，办结89件，办结率100%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b/>
          <w:bCs/>
          <w:sz w:val="32"/>
          <w:szCs w:val="32"/>
        </w:rPr>
      </w:pPr>
      <w:r>
        <w:rPr>
          <w:rFonts w:hint="eastAsia" w:ascii="黑体" w:hAnsi="黑体" w:eastAsia="黑体" w:cs="黑体"/>
          <w:b w:val="0"/>
          <w:bCs w:val="0"/>
          <w:sz w:val="32"/>
          <w:szCs w:val="32"/>
        </w:rPr>
        <w:t>二、乡、村治理工作开展基本情况</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（一）解决矛盾纠纷，加强社会综合治理。</w:t>
      </w:r>
      <w:r>
        <w:rPr>
          <w:rFonts w:hint="eastAsia" w:ascii="仿宋_GB2312" w:hAnsi="仿宋_GB2312" w:eastAsia="仿宋_GB2312" w:cs="仿宋_GB2312"/>
          <w:sz w:val="32"/>
          <w:szCs w:val="32"/>
          <w:lang w:val="en-US" w:eastAsia="zh-CN"/>
        </w:rPr>
        <w:t>坚持信访领导接待日制度，工作日安排主要领导在信访室坐班接访，轮流接待上访群众，对群众反映的问题明确坐班领导负责研究具体解决措施，强化就地解决。每年组织开展了“排查调处矛盾纠纷整治”活动，由平安办牵头，派出所、司法所配合，各村支部书记、分管社会治安的村干部及包村领导全程参与，接待来访群众，现场化解矛盾纠纷。本年度，调解各类案件纠纷</w:t>
      </w:r>
      <w:r>
        <w:rPr>
          <w:rFonts w:hint="default"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lang w:val="en-US" w:eastAsia="zh-CN"/>
        </w:rPr>
        <w:t>余起，预防各类纠纷</w:t>
      </w:r>
      <w:r>
        <w:rPr>
          <w:rFonts w:hint="default"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lang w:val="en-US" w:eastAsia="zh-CN"/>
        </w:rPr>
        <w:t>余起，共接待来访31起，现场化解31起，化解率100%。</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（二）加强社区矫正，开展安置帮教工作。</w:t>
      </w:r>
      <w:r>
        <w:rPr>
          <w:rFonts w:hint="eastAsia" w:ascii="仿宋_GB2312" w:hAnsi="仿宋_GB2312" w:eastAsia="仿宋_GB2312" w:cs="仿宋_GB2312"/>
          <w:sz w:val="32"/>
          <w:szCs w:val="32"/>
          <w:lang w:val="en-US" w:eastAsia="zh-CN"/>
        </w:rPr>
        <w:t>为切实管控好辖区内社区矫正对象及刑满释放人员，防止再犯罪现象的发生，真正起到法治第一道防线的作用，一如既往的不定时对其进行走访和摸排，随时掌握其思想动态和行踪轨迹；每月对其进行集中再教育，统一签到、统一填写思想报告、统一集中进行公益服务，同时对其着重宣读一些警示案例，常态化每天坚持“日巡查”，不断完善社区矫正系统各模块内容，同时在线率和生物验证率每天保持在100%，无越界和离线报警现象，所有“签章”内容均已完成，累计接收社区矫正对象</w:t>
      </w:r>
      <w:r>
        <w:rPr>
          <w:rFonts w:hint="default" w:ascii="仿宋_GB2312" w:hAnsi="仿宋_GB2312" w:eastAsia="仿宋_GB2312" w:cs="仿宋_GB2312"/>
          <w:sz w:val="32"/>
          <w:szCs w:val="32"/>
          <w:lang w:val="en-US" w:eastAsia="zh-CN"/>
        </w:rPr>
        <w:t>71</w:t>
      </w:r>
      <w:r>
        <w:rPr>
          <w:rFonts w:hint="eastAsia" w:ascii="仿宋_GB2312" w:hAnsi="仿宋_GB2312" w:eastAsia="仿宋_GB2312" w:cs="仿宋_GB2312"/>
          <w:sz w:val="32"/>
          <w:szCs w:val="32"/>
          <w:lang w:val="en-US" w:eastAsia="zh-CN"/>
        </w:rPr>
        <w:t>名，累计解除社区矫正对象5</w:t>
      </w:r>
      <w:r>
        <w:rPr>
          <w:rFonts w:hint="default"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zh-CN"/>
        </w:rPr>
        <w:t>名，目前正在矫正对象</w:t>
      </w:r>
      <w:r>
        <w:rPr>
          <w:rFonts w:hint="default"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val="en-US" w:eastAsia="zh-CN"/>
        </w:rPr>
        <w:t>名，同时对刑满释放及解教人员通过进村入户，调查了解情况，对他们的安置情况及去向进行了解掌握，最大限度的防止了脱管、漏管，并及时在安置帮教系统进行登记做到系统数据与卷宗相一致，真正实现核查率、衔接率、安置率、帮教率达到100%。一年来均未发生过托管漏管现象和不稳定因素，保证了社区矫正和安置帮教工作的顺利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三、存在问题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回顾全年法治政府建设工作，虽然取得了一定的成绩，但工作标准还有待进一步提高，工作成效还需巩固提质，问题主要表现在:</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法治教育培训形式较单一，内容欠丰富，法治思维的创新力不足;</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执法能力和水平有待提高;</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开展系统性，全面性的普法宣传工作的全面统筹能力还有待进一步提高。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、下一步工作措施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我乡将加大工作力度，寻找差距，弥补不足，认真贯彻党的二十大精神和习近平总书记关于法治政府建设的重要指示精神，立足本乡职能职责，开展依法行政。</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加大依法行政监督力度，坚持按法律办事，按制度办事，按规矩办事，进一步完善依法、科学、民主决策机制，建立健全依法行政各项规章制度，用制度管权、管事、管人，用制度规范、约束机关行为，努力建设负责、高效、务实政府。</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 xml:space="preserve">全面加强法治宣传力度，开展形式多样、内容丰富的法治宣传教育，在法治建设中主动对标、争先进位，掀起比学赶超的浓厚氛围，提高依法行政、依法执政水平。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潘河乡人民政府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2024年12月25日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ajorEastAsia" w:hAnsiTheme="majorEastAsia" w:eastAsiaTheme="majorEastAsia" w:cstheme="majorEastAsia"/>
          <w:b/>
          <w:bCs/>
          <w:sz w:val="44"/>
          <w:szCs w:val="44"/>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zZmU2Y2Y2NDJjYTRmMzk4NGZlMTk4YzNjOGQwMmEifQ=="/>
    <w:docVar w:name="KSO_WPS_MARK_KEY" w:val="3443a741-7468-4927-91dd-a2b2781a890c"/>
  </w:docVars>
  <w:rsids>
    <w:rsidRoot w:val="00000000"/>
    <w:rsid w:val="3BFF9BB0"/>
    <w:rsid w:val="4A4449CB"/>
    <w:rsid w:val="63074770"/>
    <w:rsid w:val="695372E4"/>
    <w:rsid w:val="774C047A"/>
    <w:rsid w:val="7D3578E8"/>
    <w:rsid w:val="7FD63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jc w:val="center"/>
    </w:pPr>
    <w:rPr>
      <w:rFonts w:ascii="黑体" w:eastAsia="黑体"/>
      <w:color w:val="000000"/>
      <w:sz w:val="84"/>
    </w:rPr>
  </w:style>
  <w:style w:type="paragraph" w:styleId="3">
    <w:name w:val="Normal Indent"/>
    <w:basedOn w:val="1"/>
    <w:qFormat/>
    <w:uiPriority w:val="0"/>
    <w:pPr>
      <w:spacing w:line="560" w:lineRule="exact"/>
      <w:ind w:firstLine="420"/>
    </w:pPr>
    <w:rPr>
      <w:rFonts w:ascii="Times New Roman" w:hAnsi="Times New Roman" w:eastAsia="仿宋" w:cs="Times New Roman"/>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2880</Words>
  <Characters>2931</Characters>
  <Lines>0</Lines>
  <Paragraphs>0</Paragraphs>
  <TotalTime>19</TotalTime>
  <ScaleCrop>false</ScaleCrop>
  <LinksUpToDate>false</LinksUpToDate>
  <CharactersWithSpaces>2998</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2025-01-08T17:17:00Z</dcterms:created>
  <dc:creator>Administrator</dc:creator>
  <cp:lastModifiedBy>Aki</cp:lastModifiedBy>
  <dcterms:modified xsi:type="dcterms:W3CDTF">2026-01-07T08:55:50Z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KSOTemplateDocerSaveRecord">
    <vt:lpwstr>eyJoZGlkIjoiNWUxZTdmZjE4N2E1MDZlZWIxZWFkYzE1OTg0OTUwM2IiLCJ1c2VySWQiOiI5MTEzMTI4NzYifQ==</vt:lpwstr>
  </property>
  <property fmtid="{D5CDD505-2E9C-101B-9397-08002B2CF9AE}" pid="4" name="ICV">
    <vt:lpwstr>E79CD8237017496CB2B01AEA6488B098_13</vt:lpwstr>
  </property>
</Properties>
</file>