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after="0" w:afterAutospacing="0" w:line="700" w:lineRule="exact"/>
        <w:jc w:val="center"/>
        <w:textAlignment w:val="auto"/>
        <w:rPr>
          <w:rFonts w:hint="eastAsia"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卢氏县审计局</w:t>
      </w:r>
      <w:r>
        <w:rPr>
          <w:rFonts w:hint="eastAsia" w:ascii="方正小标宋简体" w:hAnsi="方正小标宋简体" w:eastAsia="方正小标宋简体" w:cs="方正小标宋简体"/>
          <w:color w:val="000000"/>
          <w:sz w:val="44"/>
          <w:szCs w:val="44"/>
        </w:rPr>
        <w:t>2024年法治政府建设</w:t>
      </w:r>
    </w:p>
    <w:p>
      <w:pPr>
        <w:pStyle w:val="2"/>
        <w:keepNext w:val="0"/>
        <w:keepLines w:val="0"/>
        <w:pageBreakBefore w:val="0"/>
        <w:widowControl/>
        <w:suppressLineNumbers w:val="0"/>
        <w:kinsoku/>
        <w:wordWrap/>
        <w:overflowPunct/>
        <w:topLinePunct w:val="0"/>
        <w:autoSpaceDE/>
        <w:autoSpaceDN/>
        <w:bidi w:val="0"/>
        <w:adjustRightInd/>
        <w:snapToGrid/>
        <w:spacing w:after="0" w:afterAutospacing="0" w:line="700" w:lineRule="exact"/>
        <w:jc w:val="center"/>
        <w:textAlignment w:val="auto"/>
        <w:rPr>
          <w:rFonts w:hint="eastAsia" w:ascii="宋体" w:hAnsi="宋体" w:eastAsia="宋体" w:cs="宋体"/>
          <w:sz w:val="20"/>
          <w:szCs w:val="20"/>
        </w:rPr>
      </w:pPr>
      <w:r>
        <w:rPr>
          <w:rFonts w:hint="eastAsia" w:ascii="方正小标宋简体" w:hAnsi="方正小标宋简体" w:eastAsia="方正小标宋简体" w:cs="方正小标宋简体"/>
          <w:color w:val="000000"/>
          <w:sz w:val="44"/>
          <w:szCs w:val="44"/>
          <w:lang w:eastAsia="zh-CN"/>
        </w:rPr>
        <w:t>工作</w:t>
      </w:r>
      <w:r>
        <w:rPr>
          <w:rFonts w:hint="eastAsia" w:ascii="方正小标宋简体" w:hAnsi="方正小标宋简体" w:eastAsia="方正小标宋简体" w:cs="方正小标宋简体"/>
          <w:color w:val="000000"/>
          <w:sz w:val="44"/>
          <w:szCs w:val="44"/>
        </w:rPr>
        <w:t>报告</w:t>
      </w:r>
    </w:p>
    <w:p>
      <w:pPr>
        <w:pStyle w:val="2"/>
        <w:keepNext w:val="0"/>
        <w:keepLines w:val="0"/>
        <w:widowControl/>
        <w:suppressLineNumbers w:val="0"/>
        <w:spacing w:after="0" w:afterAutospacing="0" w:line="21" w:lineRule="atLeast"/>
        <w:ind w:left="0" w:firstLine="641"/>
        <w:jc w:val="both"/>
        <w:rPr>
          <w:rFonts w:hint="eastAsia" w:ascii="仿宋_GB2312" w:hAnsi="宋体" w:eastAsia="仿宋_GB2312" w:cs="仿宋_GB2312"/>
          <w:color w:val="000000"/>
          <w:sz w:val="32"/>
          <w:szCs w:val="32"/>
        </w:rPr>
      </w:pPr>
      <w:r>
        <w:rPr>
          <w:rFonts w:ascii="仿宋_GB2312" w:hAnsi="宋体" w:eastAsia="仿宋_GB2312" w:cs="仿宋_GB2312"/>
          <w:color w:val="000000"/>
          <w:sz w:val="32"/>
          <w:szCs w:val="32"/>
        </w:rPr>
        <w:t>在县委县政府和上级审计机关的领导下，按照省、市法治政府建设实施方案（</w:t>
      </w:r>
      <w:r>
        <w:rPr>
          <w:rFonts w:hint="default" w:ascii="Times New Roman" w:hAnsi="Times New Roman" w:eastAsia="宋体" w:cs="Times New Roman"/>
          <w:color w:val="000000"/>
          <w:sz w:val="32"/>
          <w:szCs w:val="32"/>
        </w:rPr>
        <w:t>2021—2025</w:t>
      </w:r>
      <w:r>
        <w:rPr>
          <w:rFonts w:hint="eastAsia" w:ascii="仿宋_GB2312" w:hAnsi="宋体" w:eastAsia="仿宋_GB2312" w:cs="仿宋_GB2312"/>
          <w:color w:val="000000"/>
          <w:sz w:val="32"/>
          <w:szCs w:val="32"/>
        </w:rPr>
        <w:t>年）和县</w:t>
      </w:r>
      <w:r>
        <w:rPr>
          <w:rFonts w:hint="default" w:ascii="Times New Roman" w:hAnsi="Times New Roman" w:eastAsia="宋体" w:cs="Times New Roman"/>
          <w:color w:val="000000"/>
          <w:sz w:val="32"/>
          <w:szCs w:val="32"/>
        </w:rPr>
        <w:t>2024</w:t>
      </w:r>
      <w:r>
        <w:rPr>
          <w:rFonts w:hint="eastAsia" w:ascii="仿宋_GB2312" w:hAnsi="宋体" w:eastAsia="仿宋_GB2312" w:cs="仿宋_GB2312"/>
          <w:color w:val="000000"/>
          <w:sz w:val="32"/>
          <w:szCs w:val="32"/>
        </w:rPr>
        <w:t>年法治政府工作安排的要求，</w:t>
      </w:r>
      <w:r>
        <w:rPr>
          <w:rFonts w:hint="default" w:ascii="Times New Roman" w:hAnsi="Times New Roman" w:eastAsia="宋体" w:cs="Times New Roman"/>
          <w:color w:val="000000"/>
          <w:sz w:val="32"/>
          <w:szCs w:val="32"/>
        </w:rPr>
        <w:t>2024</w:t>
      </w:r>
      <w:r>
        <w:rPr>
          <w:rFonts w:hint="eastAsia" w:ascii="仿宋_GB2312" w:hAnsi="宋体" w:eastAsia="仿宋_GB2312" w:cs="仿宋_GB2312"/>
          <w:color w:val="000000"/>
          <w:sz w:val="32"/>
          <w:szCs w:val="32"/>
        </w:rPr>
        <w:t>年，县审计局坚持以党的二十大和习近平总书记系列重要讲话精神为指导，深入学习宣传宪法审计法、审计法实施条例等法律法规，把审计机关法治建设放在审计事业发展全局中统筹规划，以提升依法审计能力和审计工作质量为核心，把法治宣传与审计工作结合起来，不断加大普法学法用法守法力度，全面加强法治建设，推动审计机关依法治理，积极营造良好审计法治环境。</w:t>
      </w:r>
    </w:p>
    <w:p>
      <w:pPr>
        <w:pStyle w:val="2"/>
        <w:keepNext w:val="0"/>
        <w:keepLines w:val="0"/>
        <w:widowControl/>
        <w:suppressLineNumbers w:val="0"/>
        <w:spacing w:after="0" w:afterAutospacing="0" w:line="21" w:lineRule="atLeast"/>
        <w:ind w:left="0" w:firstLine="641"/>
        <w:jc w:val="both"/>
        <w:rPr>
          <w:rFonts w:ascii="黑体" w:hAnsi="宋体" w:eastAsia="黑体" w:cs="黑体"/>
          <w:color w:val="000000"/>
          <w:sz w:val="32"/>
          <w:szCs w:val="32"/>
        </w:rPr>
      </w:pPr>
      <w:r>
        <w:rPr>
          <w:rFonts w:hint="eastAsia" w:ascii="仿宋_GB2312" w:hAnsi="宋体" w:eastAsia="仿宋_GB2312" w:cs="仿宋_GB2312"/>
          <w:color w:val="000000"/>
          <w:sz w:val="32"/>
          <w:szCs w:val="32"/>
          <w:lang w:eastAsia="zh-CN"/>
        </w:rPr>
        <w:t>一、</w:t>
      </w:r>
      <w:r>
        <w:rPr>
          <w:rFonts w:ascii="黑体" w:hAnsi="宋体" w:eastAsia="黑体" w:cs="黑体"/>
          <w:color w:val="000000"/>
          <w:sz w:val="32"/>
          <w:szCs w:val="32"/>
        </w:rPr>
        <w:t>加强组织领导，严格落实法治建设责任</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hint="eastAsia" w:ascii="仿宋_GB2312" w:hAnsi="宋体" w:eastAsia="仿宋_GB2312" w:cs="仿宋_GB2312"/>
          <w:color w:val="000000"/>
          <w:sz w:val="32"/>
          <w:szCs w:val="32"/>
        </w:rPr>
        <w:t>县审计局坚持党对法治建设工作的领导，时刻把握“审计机关首先是政治机关”的理念，深刻认识审计监督是党和国家监督体系的重要组成部分，准确把握新时期依法审计监督定位。成立以党组书记、局长任组长，分管领导任副组长，相关股室负责人为成员的法治政府建设工作领导小组，明确分管领导在分管领域抓落实，要求业务股室严格落实执法责任制。积极贯彻行政执法有关规定，把推进审计工作法治化纳入重要议事日程，将法治工作放在重要位置，抓好常态化依法审计工作，不断提升法治建设和依法审计水平。</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hint="eastAsia" w:ascii="黑体" w:hAnsi="宋体" w:eastAsia="黑体" w:cs="黑体"/>
          <w:color w:val="000000"/>
          <w:sz w:val="32"/>
          <w:szCs w:val="32"/>
        </w:rPr>
        <w:t>二、加强制度建设，推进工作有序规范</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hint="eastAsia" w:ascii="仿宋_GB2312" w:hAnsi="宋体" w:eastAsia="仿宋_GB2312" w:cs="仿宋_GB2312"/>
          <w:color w:val="000000"/>
          <w:sz w:val="32"/>
          <w:szCs w:val="32"/>
        </w:rPr>
        <w:t>一是充分发挥局党组在推进法治工作中的领导作用，全面推进年度法治建设的各项工作，及时研究解决重大问题，严格落实重大事项报告制度，强化机关法治建设，促进行政执法工作水平不断提升和规范。二是依法履行审计监督职责，促进法治建设。深入落实《卢氏县建立健全审计查出问题整改长效机制实施细则》《卢氏县审计查出问题整改认定暂行办法》《关于进一步推进纪检监察监督巡察监督与审计监督贯通协作高效的实施意见》等制度，制定《卢氏县审计局审计整改督查办法》《卢氏县审计局审计业务重大事项研判报告办法》，加强审计整改和审计业务重大事项管理。三是审计项目实施过程中，在审计现场公布审计执法人员姓名、联系电话、廉政要求等有关事项；在行政执法全过程记录方面，在调查了解记录、审计工作底稿和重要管理事项记录、审计项目立项、审计实施、审计报告、审计整改等行政执法过程中按规定加强记录，确保文字留痕、可追溯。四是在重大行政执法决定法制审核办法方面，严格贯彻落实民主集中制，对重大问题或重要事项坚持依法、民主、科学决策；对审计报告、审计决定等结果类文书，按规定召开审计业务会议进行审定，避免审计处理、处罚中的随意性，有效防范审计风险；对其他的重大问题和事项提交局党组、局长办公会议进行审定，审计决策的民主性和科学性进一步提高。</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hint="eastAsia" w:ascii="黑体" w:hAnsi="宋体" w:eastAsia="黑体" w:cs="黑体"/>
          <w:color w:val="000000"/>
          <w:sz w:val="32"/>
          <w:szCs w:val="32"/>
        </w:rPr>
        <w:t>三、坚持学法用法，提高干部职工法治能力</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hint="eastAsia" w:ascii="仿宋_GB2312" w:hAnsi="宋体" w:eastAsia="仿宋_GB2312" w:cs="仿宋_GB2312"/>
          <w:color w:val="000000"/>
          <w:sz w:val="32"/>
          <w:szCs w:val="32"/>
        </w:rPr>
        <w:t>一是始终把学习贯彻宪法和习近平法治思想、习近平总书记全面依法治国新理念新思想新战略作为审计人员的必修课，深入学习践行习近平法治思想，贯彻落实习近平总书记关于审计工作的重要论述，提高站位，深刻领会和准确把握习近平法治思想核心要义。二是组织开展法治培训。组织法律知识测试活动，以考促学，促进审计人员不断掌握审计工作需要的法律法规；坚持每月开展审计相关法律法规培训，学习《中华人民共和国审计法》《党政主要领导干部和国有企事业单位主要领导人经济责任审计规定》《河南省行政执法过错责任追究办法》《审计整改督查工作办法》等法律法规，提升审计人员执法能力。</w:t>
      </w:r>
    </w:p>
    <w:p>
      <w:pPr>
        <w:pStyle w:val="2"/>
        <w:keepNext w:val="0"/>
        <w:keepLines w:val="0"/>
        <w:widowControl/>
        <w:suppressLineNumbers w:val="0"/>
        <w:spacing w:after="0" w:afterAutospacing="0" w:line="21" w:lineRule="atLeast"/>
        <w:ind w:left="0" w:firstLine="420"/>
        <w:jc w:val="both"/>
      </w:pPr>
      <w:r>
        <w:rPr>
          <w:rFonts w:hint="eastAsia" w:ascii="黑体" w:hAnsi="宋体" w:eastAsia="黑体" w:cs="黑体"/>
          <w:color w:val="000000"/>
          <w:sz w:val="32"/>
          <w:szCs w:val="32"/>
        </w:rPr>
        <w:t>四、依法高效履行审计监督职能</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hint="default" w:ascii="Times New Roman" w:hAnsi="Times New Roman" w:eastAsia="宋体" w:cs="Times New Roman"/>
          <w:color w:val="000000"/>
          <w:sz w:val="32"/>
          <w:szCs w:val="32"/>
        </w:rPr>
        <w:t>2024</w:t>
      </w:r>
      <w:r>
        <w:rPr>
          <w:rFonts w:hint="eastAsia" w:ascii="仿宋_GB2312" w:hAnsi="宋体" w:eastAsia="仿宋_GB2312" w:cs="仿宋_GB2312"/>
          <w:color w:val="000000"/>
          <w:sz w:val="32"/>
          <w:szCs w:val="32"/>
        </w:rPr>
        <w:t>年组织实施审计项目</w:t>
      </w:r>
      <w:r>
        <w:rPr>
          <w:rFonts w:hint="default" w:ascii="Times New Roman" w:hAnsi="Times New Roman" w:eastAsia="宋体" w:cs="Times New Roman"/>
          <w:color w:val="000000"/>
          <w:sz w:val="32"/>
          <w:szCs w:val="32"/>
        </w:rPr>
        <w:t>28</w:t>
      </w:r>
      <w:r>
        <w:rPr>
          <w:rFonts w:hint="eastAsia" w:ascii="仿宋_GB2312" w:hAnsi="宋体" w:eastAsia="仿宋_GB2312" w:cs="仿宋_GB2312"/>
          <w:color w:val="000000"/>
          <w:sz w:val="32"/>
          <w:szCs w:val="32"/>
        </w:rPr>
        <w:t>个，其中领导干部经济责任审计</w:t>
      </w:r>
      <w:r>
        <w:rPr>
          <w:rFonts w:hint="default" w:ascii="Times New Roman" w:hAnsi="Times New Roman" w:eastAsia="宋体" w:cs="Times New Roman"/>
          <w:color w:val="000000"/>
          <w:sz w:val="32"/>
          <w:szCs w:val="32"/>
        </w:rPr>
        <w:t>13</w:t>
      </w:r>
      <w:r>
        <w:rPr>
          <w:rFonts w:hint="eastAsia" w:ascii="仿宋_GB2312" w:hAnsi="宋体" w:eastAsia="仿宋_GB2312" w:cs="仿宋_GB2312"/>
          <w:color w:val="000000"/>
          <w:sz w:val="32"/>
          <w:szCs w:val="32"/>
        </w:rPr>
        <w:t>个，聚焦重大决策部署贯彻落实和财政政策提质增效，把审计监督跟进到项目和资金的“最后一公里”，切实当好政府“经济参谋”，发挥审计监督“治已病、防未病”的重要作用。</w:t>
      </w:r>
      <w:r>
        <w:rPr>
          <w:rFonts w:hint="default" w:ascii="Times New Roman" w:hAnsi="Times New Roman" w:eastAsia="宋体" w:cs="Times New Roman"/>
          <w:color w:val="000000"/>
          <w:sz w:val="32"/>
          <w:szCs w:val="32"/>
        </w:rPr>
        <w:t>2024</w:t>
      </w:r>
      <w:r>
        <w:rPr>
          <w:rFonts w:hint="eastAsia" w:ascii="仿宋_GB2312" w:hAnsi="宋体" w:eastAsia="仿宋_GB2312" w:cs="仿宋_GB2312"/>
          <w:color w:val="000000"/>
          <w:sz w:val="32"/>
          <w:szCs w:val="32"/>
        </w:rPr>
        <w:t>年审计查出主要问题金额</w:t>
      </w:r>
      <w:r>
        <w:rPr>
          <w:rFonts w:hint="default" w:ascii="Times New Roman" w:hAnsi="Times New Roman" w:eastAsia="宋体" w:cs="Times New Roman"/>
          <w:color w:val="000000"/>
          <w:sz w:val="32"/>
          <w:szCs w:val="32"/>
        </w:rPr>
        <w:t>19899</w:t>
      </w:r>
      <w:r>
        <w:rPr>
          <w:rFonts w:hint="eastAsia" w:ascii="仿宋_GB2312" w:hAnsi="宋体" w:eastAsia="仿宋_GB2312" w:cs="仿宋_GB2312"/>
          <w:color w:val="000000"/>
          <w:sz w:val="32"/>
          <w:szCs w:val="32"/>
        </w:rPr>
        <w:t>万元，其中违规金额</w:t>
      </w:r>
      <w:r>
        <w:rPr>
          <w:rFonts w:hint="default" w:ascii="Times New Roman" w:hAnsi="Times New Roman" w:eastAsia="宋体" w:cs="Times New Roman"/>
          <w:color w:val="000000"/>
          <w:sz w:val="32"/>
          <w:szCs w:val="32"/>
        </w:rPr>
        <w:t>2367</w:t>
      </w:r>
      <w:r>
        <w:rPr>
          <w:rFonts w:hint="eastAsia" w:ascii="仿宋_GB2312" w:hAnsi="宋体" w:eastAsia="仿宋_GB2312" w:cs="仿宋_GB2312"/>
          <w:color w:val="000000"/>
          <w:sz w:val="32"/>
          <w:szCs w:val="32"/>
        </w:rPr>
        <w:t>万元、管理不规范金额</w:t>
      </w:r>
      <w:r>
        <w:rPr>
          <w:rFonts w:hint="default" w:ascii="Times New Roman" w:hAnsi="Times New Roman" w:eastAsia="宋体" w:cs="Times New Roman"/>
          <w:color w:val="000000"/>
          <w:sz w:val="32"/>
          <w:szCs w:val="32"/>
        </w:rPr>
        <w:t>17532</w:t>
      </w:r>
      <w:r>
        <w:rPr>
          <w:rFonts w:hint="eastAsia" w:ascii="仿宋_GB2312" w:hAnsi="宋体" w:eastAsia="仿宋_GB2312" w:cs="仿宋_GB2312"/>
          <w:color w:val="000000"/>
          <w:sz w:val="32"/>
          <w:szCs w:val="32"/>
        </w:rPr>
        <w:t>万元；呈报审计要情</w:t>
      </w:r>
      <w:r>
        <w:rPr>
          <w:rFonts w:hint="default" w:ascii="Times New Roman" w:hAnsi="Times New Roman" w:eastAsia="宋体" w:cs="Times New Roman"/>
          <w:color w:val="000000"/>
          <w:sz w:val="32"/>
          <w:szCs w:val="32"/>
        </w:rPr>
        <w:t>9</w:t>
      </w:r>
      <w:r>
        <w:rPr>
          <w:rFonts w:hint="eastAsia" w:ascii="仿宋_GB2312" w:hAnsi="宋体" w:eastAsia="仿宋_GB2312" w:cs="仿宋_GB2312"/>
          <w:color w:val="000000"/>
          <w:sz w:val="32"/>
          <w:szCs w:val="32"/>
        </w:rPr>
        <w:t>篇，均得到主要领导及主管领导的批示，同时，向纪委监委等部门移送问题线索</w:t>
      </w:r>
      <w:r>
        <w:rPr>
          <w:rFonts w:hint="default" w:ascii="Times New Roman" w:hAnsi="Times New Roman" w:eastAsia="宋体" w:cs="Times New Roman"/>
          <w:color w:val="000000"/>
          <w:sz w:val="32"/>
          <w:szCs w:val="32"/>
        </w:rPr>
        <w:t>20</w:t>
      </w:r>
      <w:r>
        <w:rPr>
          <w:rFonts w:hint="eastAsia" w:ascii="仿宋_GB2312" w:hAnsi="宋体" w:eastAsia="仿宋_GB2312" w:cs="仿宋_GB2312"/>
          <w:color w:val="000000"/>
          <w:sz w:val="32"/>
          <w:szCs w:val="32"/>
        </w:rPr>
        <w:t>起，给予党纪政纪处分</w:t>
      </w:r>
      <w:r>
        <w:rPr>
          <w:rFonts w:hint="default" w:ascii="Times New Roman" w:hAnsi="Times New Roman" w:eastAsia="宋体" w:cs="Times New Roman"/>
          <w:color w:val="000000"/>
          <w:sz w:val="32"/>
          <w:szCs w:val="32"/>
        </w:rPr>
        <w:t>7</w:t>
      </w:r>
      <w:r>
        <w:rPr>
          <w:rFonts w:hint="eastAsia" w:ascii="仿宋_GB2312" w:hAnsi="宋体" w:eastAsia="仿宋_GB2312" w:cs="仿宋_GB2312"/>
          <w:color w:val="000000"/>
          <w:sz w:val="32"/>
          <w:szCs w:val="32"/>
        </w:rPr>
        <w:t>人，树立了审计权威，提升了审计质效。</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hint="eastAsia" w:ascii="黑体" w:hAnsi="宋体" w:eastAsia="黑体" w:cs="黑体"/>
          <w:color w:val="000000"/>
          <w:sz w:val="32"/>
          <w:szCs w:val="32"/>
          <w:lang w:eastAsia="zh-CN"/>
        </w:rPr>
        <w:t>五</w:t>
      </w:r>
      <w:r>
        <w:rPr>
          <w:rFonts w:hint="eastAsia" w:ascii="黑体" w:hAnsi="宋体" w:eastAsia="黑体" w:cs="黑体"/>
          <w:color w:val="000000"/>
          <w:sz w:val="32"/>
          <w:szCs w:val="32"/>
        </w:rPr>
        <w:t>、加强法治宣传教育，充分营造学法浓厚氛围</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hint="eastAsia" w:ascii="仿宋_GB2312" w:hAnsi="宋体" w:eastAsia="仿宋_GB2312" w:cs="仿宋_GB2312"/>
          <w:color w:val="000000"/>
          <w:sz w:val="32"/>
          <w:szCs w:val="32"/>
        </w:rPr>
        <w:t>一是全面贯彻落实“谁执法谁普法”工作责任制。加大普法力度，把普法融入执法全过程，在审计项目进点时向被审计单位领导、财务人员及干部职工宣传讲解审计法，增强被审计单位对审计工作的了解、支持和配合，形成主动接受审计监督的良好氛围。</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hint="eastAsia" w:ascii="仿宋_GB2312" w:hAnsi="宋体" w:eastAsia="仿宋_GB2312" w:cs="仿宋_GB2312"/>
          <w:color w:val="000000"/>
          <w:sz w:val="32"/>
          <w:szCs w:val="32"/>
        </w:rPr>
        <w:t>二是走进群众开展普法宣传。组织开展“法治宣传进社区”等普法活动，利用国家宪法日等时间节点，通过现场普法答题、发放宣传资料等群众喜闻乐见的形式，深入社区宣传宪法、民法典、审计法等法律法规和党内法规，让广大群众自觉维护法律尊严、培养守法习惯、强化用法意识。</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hint="eastAsia" w:ascii="黑体" w:hAnsi="宋体" w:eastAsia="黑体" w:cs="黑体"/>
          <w:color w:val="000000"/>
          <w:sz w:val="32"/>
          <w:szCs w:val="32"/>
          <w:lang w:eastAsia="zh-CN"/>
        </w:rPr>
        <w:t>六</w:t>
      </w:r>
      <w:r>
        <w:rPr>
          <w:rFonts w:hint="eastAsia" w:ascii="黑体" w:hAnsi="宋体" w:eastAsia="黑体" w:cs="黑体"/>
          <w:color w:val="000000"/>
          <w:sz w:val="32"/>
          <w:szCs w:val="32"/>
        </w:rPr>
        <w:t>、强化服务型行政执法</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hint="eastAsia" w:ascii="仿宋_GB2312" w:hAnsi="宋体" w:eastAsia="仿宋_GB2312" w:cs="仿宋_GB2312"/>
          <w:color w:val="000000"/>
          <w:sz w:val="32"/>
          <w:szCs w:val="32"/>
        </w:rPr>
        <w:t>对审计发现的问题注重行政指导，注重提出合理审计建议，依法要求被审计单位完善财务规章制度，及时纠正违法行为。</w:t>
      </w:r>
      <w:r>
        <w:rPr>
          <w:rFonts w:hint="default" w:ascii="Times New Roman" w:hAnsi="Times New Roman" w:eastAsia="宋体" w:cs="Times New Roman"/>
          <w:color w:val="000000"/>
          <w:sz w:val="32"/>
          <w:szCs w:val="32"/>
        </w:rPr>
        <w:t>2024</w:t>
      </w:r>
      <w:r>
        <w:rPr>
          <w:rFonts w:hint="eastAsia" w:ascii="仿宋_GB2312" w:hAnsi="宋体" w:eastAsia="仿宋_GB2312" w:cs="仿宋_GB2312"/>
          <w:color w:val="000000"/>
          <w:sz w:val="32"/>
          <w:szCs w:val="32"/>
        </w:rPr>
        <w:t>年上报服务型行政执法典型案例</w:t>
      </w:r>
      <w:r>
        <w:rPr>
          <w:rFonts w:hint="default" w:ascii="Times New Roman" w:hAnsi="Times New Roman" w:eastAsia="宋体" w:cs="Times New Roman"/>
          <w:color w:val="000000"/>
          <w:sz w:val="32"/>
          <w:szCs w:val="32"/>
        </w:rPr>
        <w:t>2</w:t>
      </w:r>
      <w:r>
        <w:rPr>
          <w:rFonts w:hint="eastAsia" w:ascii="仿宋_GB2312" w:hAnsi="宋体" w:eastAsia="仿宋_GB2312" w:cs="仿宋_GB2312"/>
          <w:color w:val="000000"/>
          <w:sz w:val="32"/>
          <w:szCs w:val="32"/>
        </w:rPr>
        <w:t>个，在</w:t>
      </w:r>
      <w:r>
        <w:rPr>
          <w:rFonts w:hint="default" w:ascii="Times New Roman" w:hAnsi="Times New Roman" w:eastAsia="宋体" w:cs="Times New Roman"/>
          <w:color w:val="000000"/>
          <w:sz w:val="32"/>
          <w:szCs w:val="32"/>
        </w:rPr>
        <w:t>28</w:t>
      </w:r>
      <w:r>
        <w:rPr>
          <w:rFonts w:hint="eastAsia" w:ascii="仿宋_GB2312" w:hAnsi="宋体" w:eastAsia="仿宋_GB2312" w:cs="仿宋_GB2312"/>
          <w:color w:val="000000"/>
          <w:sz w:val="32"/>
          <w:szCs w:val="32"/>
        </w:rPr>
        <w:t>个审计项目中向被审计单位提出审计建议</w:t>
      </w:r>
      <w:r>
        <w:rPr>
          <w:rFonts w:hint="default" w:ascii="Times New Roman" w:hAnsi="Times New Roman" w:eastAsia="宋体" w:cs="Times New Roman"/>
          <w:color w:val="000000"/>
          <w:sz w:val="32"/>
          <w:szCs w:val="32"/>
        </w:rPr>
        <w:t>65</w:t>
      </w:r>
      <w:r>
        <w:rPr>
          <w:rFonts w:hint="eastAsia" w:ascii="仿宋_GB2312" w:hAnsi="宋体" w:eastAsia="仿宋_GB2312" w:cs="仿宋_GB2312"/>
          <w:color w:val="000000"/>
          <w:sz w:val="32"/>
          <w:szCs w:val="32"/>
        </w:rPr>
        <w:t>条，有效发挥了审计服务型作用。</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hint="eastAsia" w:ascii="黑体" w:hAnsi="宋体" w:eastAsia="黑体" w:cs="黑体"/>
          <w:color w:val="000000"/>
          <w:sz w:val="32"/>
          <w:szCs w:val="32"/>
          <w:lang w:eastAsia="zh-CN"/>
        </w:rPr>
        <w:t>七</w:t>
      </w:r>
      <w:r>
        <w:rPr>
          <w:rFonts w:hint="eastAsia" w:ascii="黑体" w:hAnsi="宋体" w:eastAsia="黑体" w:cs="黑体"/>
          <w:color w:val="000000"/>
          <w:sz w:val="32"/>
          <w:szCs w:val="32"/>
        </w:rPr>
        <w:t>、下一步工作安排</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hint="eastAsia" w:ascii="仿宋_GB2312" w:hAnsi="宋体" w:eastAsia="仿宋_GB2312" w:cs="仿宋_GB2312"/>
          <w:color w:val="000000"/>
          <w:sz w:val="32"/>
          <w:szCs w:val="32"/>
        </w:rPr>
        <w:t>下一步，县审计局继续坚持以习近平新时代中国特色社会主义思想为指导，深入贯彻落实党的二十大、二十届三中全会精神和习近平总书记关于审计工作的重要指示批示精神，持续深入学习宣传贯彻习近平法治思想，认真落实县委县政府和上级审计机关关于法治政府建设的安排部署，依法全面履行审计监督职责，全面推进法治政府建设，持续加强自身建设，更好发挥审计在党和国家监督体系中的重要作用。</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ascii="楷体_GB2312" w:hAnsi="宋体" w:eastAsia="楷体_GB2312" w:cs="楷体_GB2312"/>
          <w:b/>
          <w:bCs/>
          <w:color w:val="000000"/>
          <w:sz w:val="32"/>
          <w:szCs w:val="32"/>
        </w:rPr>
        <w:t>一是增强普法宣传实效。</w:t>
      </w:r>
      <w:r>
        <w:rPr>
          <w:rFonts w:hint="eastAsia" w:ascii="仿宋_GB2312" w:hAnsi="宋体" w:eastAsia="仿宋_GB2312" w:cs="仿宋_GB2312"/>
          <w:color w:val="000000"/>
          <w:sz w:val="32"/>
          <w:szCs w:val="32"/>
        </w:rPr>
        <w:t>以日常普法为抓手，将法治宣传和审计工作紧密结合，以《中华人民共和国宪法》《中华人民共和国审计法》为核心，拓展宣传途径，充分利用网络等新媒体开展宣传工作，积极参与各类法治宣传活动，切实提高普法工作效果。</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hint="eastAsia" w:ascii="楷体_GB2312" w:hAnsi="宋体" w:eastAsia="楷体_GB2312" w:cs="楷体_GB2312"/>
          <w:b/>
          <w:bCs/>
          <w:color w:val="000000"/>
          <w:sz w:val="32"/>
          <w:szCs w:val="32"/>
        </w:rPr>
        <w:t>二是进一步提升依法审计能力建设。</w:t>
      </w:r>
      <w:r>
        <w:rPr>
          <w:rFonts w:hint="eastAsia" w:ascii="仿宋_GB2312" w:hAnsi="宋体" w:eastAsia="仿宋_GB2312" w:cs="仿宋_GB2312"/>
          <w:color w:val="000000"/>
          <w:sz w:val="32"/>
          <w:szCs w:val="32"/>
        </w:rPr>
        <w:t>坚持以能力建设为核心，以审计需求为导向，以法治素养为保障，将法治学习作为局党组中心组和全体职工常态化学习的主要内容，不断提升审计人员依法审计能力。</w:t>
      </w:r>
    </w:p>
    <w:p>
      <w:pPr>
        <w:pStyle w:val="2"/>
        <w:keepNext w:val="0"/>
        <w:keepLines w:val="0"/>
        <w:widowControl/>
        <w:suppressLineNumbers w:val="0"/>
        <w:spacing w:after="0" w:afterAutospacing="0" w:line="21" w:lineRule="atLeast"/>
        <w:ind w:left="0" w:firstLine="641"/>
        <w:jc w:val="both"/>
        <w:rPr>
          <w:rFonts w:hint="eastAsia" w:ascii="宋体" w:hAnsi="宋体" w:eastAsia="宋体" w:cs="宋体"/>
          <w:sz w:val="20"/>
          <w:szCs w:val="20"/>
        </w:rPr>
      </w:pPr>
      <w:r>
        <w:rPr>
          <w:rFonts w:hint="eastAsia" w:ascii="宋体" w:hAnsi="宋体" w:eastAsia="宋体" w:cs="宋体"/>
          <w:color w:val="3370FF"/>
          <w:sz w:val="20"/>
          <w:szCs w:val="20"/>
          <w:u w:val="single"/>
        </w:rPr>
        <w:fldChar w:fldCharType="begin"/>
      </w:r>
      <w:r>
        <w:rPr>
          <w:rFonts w:hint="eastAsia" w:ascii="宋体" w:hAnsi="宋体" w:eastAsia="宋体" w:cs="宋体"/>
          <w:color w:val="3370FF"/>
          <w:sz w:val="20"/>
          <w:szCs w:val="20"/>
          <w:u w:val="single"/>
        </w:rPr>
        <w:instrText xml:space="preserve"> HYPERLINK "https://mail.163.com/js6/read/readhtml.jsp?mid=764:xtbC-Ao3YWldrWqnSgAA3+&amp;userType=browser&amp;moduleName=read.ReadModule_6&amp;font=15&amp;color=3370FF" </w:instrText>
      </w:r>
      <w:r>
        <w:rPr>
          <w:rFonts w:hint="eastAsia" w:ascii="宋体" w:hAnsi="宋体" w:eastAsia="宋体" w:cs="宋体"/>
          <w:color w:val="3370FF"/>
          <w:sz w:val="20"/>
          <w:szCs w:val="20"/>
          <w:u w:val="single"/>
        </w:rPr>
        <w:fldChar w:fldCharType="separate"/>
      </w:r>
      <w:r>
        <w:rPr>
          <w:rFonts w:hint="eastAsia" w:ascii="宋体" w:hAnsi="宋体" w:eastAsia="宋体" w:cs="宋体"/>
          <w:color w:val="3370FF"/>
          <w:sz w:val="20"/>
          <w:szCs w:val="20"/>
          <w:u w:val="single"/>
        </w:rPr>
        <w:fldChar w:fldCharType="end"/>
      </w:r>
      <w:r>
        <w:rPr>
          <w:rFonts w:hint="eastAsia" w:ascii="楷体_GB2312" w:hAnsi="宋体" w:eastAsia="楷体_GB2312" w:cs="楷体_GB2312"/>
          <w:b/>
          <w:bCs/>
          <w:color w:val="000000"/>
          <w:sz w:val="32"/>
          <w:szCs w:val="32"/>
        </w:rPr>
        <w:t>三是进一步规范审计业务工作，提高审计质效。</w:t>
      </w:r>
      <w:r>
        <w:rPr>
          <w:rFonts w:hint="eastAsia" w:ascii="仿宋_GB2312" w:hAnsi="宋体" w:eastAsia="仿宋_GB2312" w:cs="仿宋_GB2312"/>
          <w:color w:val="000000"/>
          <w:sz w:val="32"/>
          <w:szCs w:val="32"/>
        </w:rPr>
        <w:t>坚持以宪法法律为工作准则，严格执行各项审计法规，不断推进审计工作法治化，严格落实审计执法各项规定，确保审计程序合法依规，防范审计法律风险，提升审计质效。</w:t>
      </w:r>
    </w:p>
    <w:p>
      <w:pPr>
        <w:pStyle w:val="2"/>
        <w:keepNext w:val="0"/>
        <w:keepLines w:val="0"/>
        <w:widowControl/>
        <w:suppressLineNumbers w:val="0"/>
        <w:spacing w:after="0" w:afterAutospacing="0" w:line="21" w:lineRule="atLeast"/>
        <w:ind w:left="0" w:firstLine="5447"/>
        <w:jc w:val="both"/>
        <w:rPr>
          <w:rFonts w:hint="eastAsia" w:ascii="宋体" w:hAnsi="宋体" w:eastAsia="宋体" w:cs="宋体"/>
          <w:sz w:val="20"/>
          <w:szCs w:val="20"/>
        </w:rPr>
      </w:pPr>
      <w:bookmarkStart w:id="0" w:name="_GoBack"/>
      <w:bookmarkEnd w:id="0"/>
    </w:p>
    <w:p>
      <w:pPr>
        <w:pStyle w:val="2"/>
        <w:keepNext w:val="0"/>
        <w:keepLines w:val="0"/>
        <w:widowControl/>
        <w:suppressLineNumbers w:val="0"/>
        <w:spacing w:after="0" w:afterAutospacing="0" w:line="21" w:lineRule="atLeast"/>
        <w:ind w:left="0" w:firstLine="420"/>
        <w:jc w:val="both"/>
      </w:pPr>
    </w:p>
    <w:p>
      <w:pPr>
        <w:pStyle w:val="2"/>
        <w:keepNext w:val="0"/>
        <w:keepLines w:val="0"/>
        <w:widowControl/>
        <w:suppressLineNumbers w:val="0"/>
        <w:spacing w:after="0" w:afterAutospacing="0" w:line="21" w:lineRule="atLeast"/>
        <w:ind w:left="0" w:firstLine="5447"/>
        <w:jc w:val="both"/>
        <w:rPr>
          <w:rFonts w:hint="eastAsia" w:ascii="宋体" w:hAnsi="宋体" w:eastAsia="宋体" w:cs="宋体"/>
          <w:sz w:val="20"/>
          <w:szCs w:val="20"/>
        </w:rPr>
      </w:pPr>
      <w:r>
        <w:rPr>
          <w:rFonts w:hint="eastAsia" w:ascii="仿宋_GB2312" w:hAnsi="宋体" w:eastAsia="仿宋_GB2312" w:cs="仿宋_GB2312"/>
          <w:color w:val="000000"/>
          <w:sz w:val="32"/>
          <w:szCs w:val="32"/>
        </w:rPr>
        <w:t>卢氏县审计局</w:t>
      </w:r>
    </w:p>
    <w:p>
      <w:pPr>
        <w:pStyle w:val="2"/>
        <w:keepNext w:val="0"/>
        <w:keepLines w:val="0"/>
        <w:widowControl/>
        <w:suppressLineNumbers w:val="0"/>
        <w:spacing w:after="0" w:afterAutospacing="0" w:line="21" w:lineRule="atLeast"/>
        <w:ind w:left="0" w:right="323" w:firstLine="5447"/>
        <w:jc w:val="both"/>
        <w:rPr>
          <w:rFonts w:hint="eastAsia" w:ascii="宋体" w:hAnsi="宋体" w:eastAsia="宋体" w:cs="宋体"/>
          <w:sz w:val="20"/>
          <w:szCs w:val="20"/>
        </w:rPr>
      </w:pPr>
      <w:r>
        <w:rPr>
          <w:rFonts w:hint="default" w:ascii="Times New Roman" w:hAnsi="Times New Roman" w:eastAsia="宋体" w:cs="Times New Roman"/>
          <w:color w:val="000000"/>
          <w:sz w:val="32"/>
          <w:szCs w:val="32"/>
        </w:rPr>
        <w:t>202</w:t>
      </w:r>
      <w:r>
        <w:rPr>
          <w:rFonts w:hint="eastAsia" w:ascii="Times New Roman" w:hAnsi="Times New Roman" w:cs="Times New Roman"/>
          <w:color w:val="000000"/>
          <w:sz w:val="32"/>
          <w:szCs w:val="32"/>
          <w:lang w:val="en-US" w:eastAsia="zh-CN"/>
        </w:rPr>
        <w:t>4</w:t>
      </w:r>
      <w:r>
        <w:rPr>
          <w:rFonts w:hint="eastAsia" w:ascii="仿宋_GB2312" w:hAnsi="宋体" w:eastAsia="仿宋_GB2312" w:cs="仿宋_GB2312"/>
          <w:color w:val="000000"/>
          <w:sz w:val="32"/>
          <w:szCs w:val="32"/>
        </w:rPr>
        <w:t>年</w:t>
      </w:r>
      <w:r>
        <w:rPr>
          <w:rFonts w:hint="default" w:ascii="Times New Roman" w:hAnsi="Times New Roman" w:eastAsia="宋体" w:cs="Times New Roman"/>
          <w:color w:val="000000"/>
          <w:sz w:val="32"/>
          <w:szCs w:val="32"/>
        </w:rPr>
        <w:t>12</w:t>
      </w:r>
      <w:r>
        <w:rPr>
          <w:rFonts w:hint="eastAsia" w:ascii="仿宋_GB2312" w:hAnsi="宋体" w:eastAsia="仿宋_GB2312" w:cs="仿宋_GB2312"/>
          <w:color w:val="000000"/>
          <w:sz w:val="32"/>
          <w:szCs w:val="32"/>
        </w:rPr>
        <w:t>月</w:t>
      </w:r>
      <w:r>
        <w:rPr>
          <w:rFonts w:hint="default" w:ascii="Times New Roman" w:hAnsi="Times New Roman" w:eastAsia="宋体" w:cs="Times New Roman"/>
          <w:color w:val="000000"/>
          <w:sz w:val="32"/>
          <w:szCs w:val="32"/>
        </w:rPr>
        <w:t>30</w:t>
      </w:r>
      <w:r>
        <w:rPr>
          <w:rFonts w:hint="eastAsia" w:ascii="仿宋_GB2312" w:hAnsi="宋体" w:eastAsia="仿宋_GB2312" w:cs="仿宋_GB2312"/>
          <w:color w:val="000000"/>
          <w:sz w:val="32"/>
          <w:szCs w:val="32"/>
        </w:rPr>
        <w:t>日</w:t>
      </w:r>
    </w:p>
    <w:p>
      <w:pPr>
        <w:keepNext w:val="0"/>
        <w:keepLines w:val="0"/>
        <w:widowControl/>
        <w:suppressLineNumbers w:val="0"/>
        <w:jc w:val="left"/>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F5073A-AE4F-4B34-A994-3C33EA24F01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A603946-7FCF-40B7-BCF1-97C171118F8D}"/>
  </w:font>
  <w:font w:name="方正小标宋简体">
    <w:panose1 w:val="02000000000000000000"/>
    <w:charset w:val="86"/>
    <w:family w:val="auto"/>
    <w:pitch w:val="default"/>
    <w:sig w:usb0="00000001" w:usb1="080E0000" w:usb2="00000000" w:usb3="00000000" w:csb0="00040000" w:csb1="00000000"/>
    <w:embedRegular r:id="rId3" w:fontKey="{7B08E053-085D-4B05-88A2-1991FAC3BDB9}"/>
  </w:font>
  <w:font w:name="仿宋_GB2312">
    <w:panose1 w:val="02010609030101010101"/>
    <w:charset w:val="86"/>
    <w:family w:val="auto"/>
    <w:pitch w:val="default"/>
    <w:sig w:usb0="00000001" w:usb1="080E0000" w:usb2="00000000" w:usb3="00000000" w:csb0="00040000" w:csb1="00000000"/>
    <w:embedRegular r:id="rId4" w:fontKey="{20AEE6DA-062A-4447-804C-4D0C4965FF68}"/>
  </w:font>
  <w:font w:name="楷体_GB2312">
    <w:altName w:val="楷体"/>
    <w:panose1 w:val="02010609030101010101"/>
    <w:charset w:val="86"/>
    <w:family w:val="auto"/>
    <w:pitch w:val="default"/>
    <w:sig w:usb0="00000000" w:usb1="00000000" w:usb2="00000000" w:usb3="00000000" w:csb0="00040000" w:csb1="00000000"/>
    <w:embedRegular r:id="rId5" w:fontKey="{7B61BA64-BD04-4F63-9241-74A0E106F012}"/>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00000000"/>
    <w:rsid w:val="47971775"/>
    <w:rsid w:val="7E77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2026-01-07T02:07:26Z</dcterms:created>
  <dc:creator>Administrator</dc:creator>
  <cp:lastModifiedBy>Sunshine</cp:lastModifiedBy>
  <dcterms:modified xsi:type="dcterms:W3CDTF">2026-01-07T02:08:55Z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90818CD391C3420687B2F94473B0D67F_12</vt:lpwstr>
  </property>
</Properties>
</file>