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eastAsia="zh-CN"/>
        </w:rPr>
        <w:t>三门峡市生态环境局卢氏分局</w:t>
      </w:r>
    </w:p>
    <w:p>
      <w:pPr>
        <w:jc w:val="center"/>
        <w:rPr>
          <w:rFonts w:hint="eastAsia" w:ascii="方正小标宋简体" w:hAnsi="方正小标宋简体" w:eastAsia="方正小标宋简体" w:cs="方正小标宋简体"/>
          <w:b w:val="0"/>
          <w:bCs w:val="0"/>
          <w:sz w:val="44"/>
          <w:szCs w:val="44"/>
          <w:lang w:eastAsia="zh-CN"/>
        </w:rPr>
      </w:pPr>
      <w:r>
        <w:rPr>
          <w:rFonts w:hint="eastAsia" w:ascii="方正小标宋简体" w:hAnsi="方正小标宋简体" w:eastAsia="方正小标宋简体" w:cs="方正小标宋简体"/>
          <w:b w:val="0"/>
          <w:bCs w:val="0"/>
          <w:sz w:val="44"/>
          <w:szCs w:val="44"/>
          <w:lang w:val="en-US" w:eastAsia="zh-CN"/>
        </w:rPr>
        <w:t>2024年度</w:t>
      </w:r>
      <w:r>
        <w:rPr>
          <w:rFonts w:hint="eastAsia" w:ascii="方正小标宋简体" w:hAnsi="方正小标宋简体" w:eastAsia="方正小标宋简体" w:cs="方正小标宋简体"/>
          <w:b w:val="0"/>
          <w:bCs w:val="0"/>
          <w:sz w:val="44"/>
          <w:szCs w:val="44"/>
          <w:lang w:eastAsia="zh-CN"/>
        </w:rPr>
        <w:t>法治政府建设工作报告</w:t>
      </w:r>
      <w:bookmarkStart w:id="0" w:name="_GoBack"/>
      <w:bookmarkEnd w:id="0"/>
    </w:p>
    <w:p>
      <w:pPr>
        <w:jc w:val="center"/>
        <w:rPr>
          <w:rFonts w:hint="eastAsia" w:ascii="楷体" w:hAnsi="楷体" w:eastAsia="楷体" w:cs="楷体"/>
          <w:b/>
          <w:bCs/>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2024年以来，我局法治政府建设工作在县委县政府正确领导下，按照中共卢氏县委依法治县委员会办公室卢法办[2022]4号法治卢氏建设规划（2021-2025）、三门峡市生态环境局三环文[2022]75号三门峡市生态环境局关于印发三门峡市生态环境系统2024年法治政府建设工作安排的通知精神，结合我县生态环境工作实际，持续推进依法行政、公正执法、法治生态、社会管理四大重点，扎实推进法治政府和依法治县工作，不断提升工作水平，现将法治政府建设工作开展情况</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报告</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一、</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法治政府建设</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工作</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开展情况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（一）积极配合开展各级生态环境保护督察工作</w:t>
      </w:r>
    </w:p>
    <w:p>
      <w:pPr>
        <w:spacing w:line="580" w:lineRule="exact"/>
        <w:ind w:firstLine="643" w:firstLineChars="200"/>
        <w:jc w:val="both"/>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eastAsia="zh-CN"/>
          <w14:textFill>
            <w14:solidFill>
              <w14:schemeClr w14:val="tx1"/>
            </w14:solidFill>
          </w14:textFill>
        </w:rPr>
        <w:t>一是积极认领、扎实整改。</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积极配合上级开展生态环境保护督察工作，对督察组交办的群众举报件，不要讲条件、讲困难，对问题不回避、不遮掩、不推脱，认真整改。真正从思想认识上把做好各级生态环境保护督察交办问题整改作为改进工作的重大机遇，认真分析原因、查清症结，与党史教育结合起来，加快解决群众身边的生态环境问题，真正把“我为群众办实事”办出实效、办到群众的心坎里。</w:t>
      </w:r>
    </w:p>
    <w:p>
      <w:pPr>
        <w:spacing w:line="580" w:lineRule="exact"/>
        <w:ind w:firstLine="643" w:firstLineChars="200"/>
        <w:jc w:val="both"/>
        <w:rPr>
          <w:rFonts w:hint="eastAsia" w:ascii="CESI仿宋-GB2312" w:hAnsi="CESI仿宋-GB2312" w:eastAsia="CESI仿宋-GB2312" w:cs="CESI仿宋-GB2312"/>
          <w:sz w:val="32"/>
          <w:szCs w:val="32"/>
        </w:rPr>
      </w:pPr>
      <w:r>
        <w:rPr>
          <w:rFonts w:hint="eastAsia" w:ascii="CESI仿宋-GB2312" w:hAnsi="CESI仿宋-GB2312" w:eastAsia="CESI仿宋-GB2312" w:cs="CESI仿宋-GB2312"/>
          <w:b/>
          <w:bCs/>
          <w:sz w:val="32"/>
          <w:szCs w:val="32"/>
          <w:lang w:val="en-US" w:eastAsia="zh-CN"/>
        </w:rPr>
        <w:t>二是坚持问题导向，举一反三。</w:t>
      </w:r>
      <w:r>
        <w:rPr>
          <w:rFonts w:hint="eastAsia" w:ascii="CESI仿宋-GB2312" w:hAnsi="CESI仿宋-GB2312" w:eastAsia="CESI仿宋-GB2312" w:cs="CESI仿宋-GB2312"/>
          <w:sz w:val="32"/>
          <w:szCs w:val="32"/>
          <w:lang w:val="en-US" w:eastAsia="zh-CN"/>
        </w:rPr>
        <w:t>深刻分析原因，精准分类施策，加强宣传教育，从严实施监管，从制度上、源头上遏制生态破坏和环境污染。</w:t>
      </w:r>
      <w:r>
        <w:rPr>
          <w:rFonts w:hint="eastAsia" w:ascii="CESI仿宋-GB2312" w:hAnsi="CESI仿宋-GB2312" w:eastAsia="CESI仿宋-GB2312" w:cs="CESI仿宋-GB2312"/>
          <w:sz w:val="32"/>
          <w:szCs w:val="32"/>
          <w:lang w:eastAsia="zh-CN"/>
        </w:rPr>
        <w:t>以生态环境保护督查交办问题整改工作为</w:t>
      </w:r>
      <w:r>
        <w:rPr>
          <w:rFonts w:hint="eastAsia" w:ascii="CESI仿宋-GB2312" w:hAnsi="CESI仿宋-GB2312" w:eastAsia="CESI仿宋-GB2312" w:cs="CESI仿宋-GB2312"/>
          <w:sz w:val="32"/>
          <w:szCs w:val="32"/>
        </w:rPr>
        <w:t>契机，提升</w:t>
      </w:r>
      <w:r>
        <w:rPr>
          <w:rFonts w:hint="eastAsia" w:ascii="CESI仿宋-GB2312" w:hAnsi="CESI仿宋-GB2312" w:eastAsia="CESI仿宋-GB2312" w:cs="CESI仿宋-GB2312"/>
          <w:sz w:val="32"/>
          <w:szCs w:val="32"/>
          <w:lang w:eastAsia="zh-CN"/>
        </w:rPr>
        <w:t>生态环境管理</w:t>
      </w:r>
      <w:r>
        <w:rPr>
          <w:rFonts w:hint="eastAsia" w:ascii="CESI仿宋-GB2312" w:hAnsi="CESI仿宋-GB2312" w:eastAsia="CESI仿宋-GB2312" w:cs="CESI仿宋-GB2312"/>
          <w:sz w:val="32"/>
          <w:szCs w:val="32"/>
        </w:rPr>
        <w:t>水平</w:t>
      </w:r>
      <w:r>
        <w:rPr>
          <w:rFonts w:hint="eastAsia" w:ascii="CESI仿宋-GB2312" w:hAnsi="CESI仿宋-GB2312" w:eastAsia="CESI仿宋-GB2312" w:cs="CESI仿宋-GB2312"/>
          <w:sz w:val="32"/>
          <w:szCs w:val="32"/>
          <w:lang w:eastAsia="zh-CN"/>
        </w:rPr>
        <w:t>，改善区域环境质量，提升人民群众获得感、幸福感</w:t>
      </w:r>
      <w:r>
        <w:rPr>
          <w:rFonts w:hint="eastAsia" w:ascii="CESI仿宋-GB2312" w:hAnsi="CESI仿宋-GB2312" w:eastAsia="CESI仿宋-GB2312" w:cs="CESI仿宋-GB2312"/>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14:textFill>
            <w14:solidFill>
              <w14:schemeClr w14:val="tx1"/>
            </w14:solidFill>
          </w14:textFill>
        </w:rPr>
        <w:t>（</w:t>
      </w: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二</w:t>
      </w:r>
      <w:r>
        <w:rPr>
          <w:rFonts w:hint="eastAsia" w:ascii="CESI楷体-GB2312" w:hAnsi="CESI楷体-GB2312" w:eastAsia="CESI楷体-GB2312" w:cs="CESI楷体-GB2312"/>
          <w:b w:val="0"/>
          <w:bCs w:val="0"/>
          <w:color w:val="000000" w:themeColor="text1"/>
          <w:sz w:val="32"/>
          <w:szCs w:val="32"/>
          <w14:textFill>
            <w14:solidFill>
              <w14:schemeClr w14:val="tx1"/>
            </w14:solidFill>
          </w14:textFill>
        </w:rPr>
        <w:t>）依法全面履行政府职能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bCs/>
          <w:color w:val="000000" w:themeColor="text1"/>
          <w:sz w:val="32"/>
          <w:szCs w:val="32"/>
          <w14:textFill>
            <w14:solidFill>
              <w14:schemeClr w14:val="tx1"/>
            </w14:solidFill>
          </w14:textFill>
        </w:rPr>
        <w:t>一是强化行政审批指导服务。</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我局着眼提高为民办</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实</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事</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服务质量</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、促进地方经济发展</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，畅通项目环评审批咨询服务</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渠</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道，</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提前介入、超前服务，</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2024</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年共审批项目</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8个</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接待环评咨询</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200</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余人（次），截至目前，共向相关单位</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提出</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建设项目环境影响审批征求意见并向</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市</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生态环境局反馈建议</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20</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余条</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bCs/>
          <w:color w:val="000000" w:themeColor="text1"/>
          <w:sz w:val="32"/>
          <w:szCs w:val="32"/>
          <w14:textFill>
            <w14:solidFill>
              <w14:schemeClr w14:val="tx1"/>
            </w14:solidFill>
          </w14:textFill>
        </w:rPr>
        <w:t>二是强化事中事后监管。</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除抓好网格员“三三制”排查整改生态环境问题外，严格按照“双随机、一公开”监管制度对企业进行监管，202</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4</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年以来，在全县范围内共开展现场检查</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20</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5家次，其中重点排污单位</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130</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家，一般排污单位</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75</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家，其他检查事项</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17</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楷体-GB2312" w:hAnsi="CESI楷体-GB2312" w:eastAsia="CESI楷体-GB2312" w:cs="CESI楷体-GB2312"/>
          <w:b w:val="0"/>
          <w:bCs w:val="0"/>
          <w:color w:val="000000" w:themeColor="text1"/>
          <w:sz w:val="32"/>
          <w:szCs w:val="32"/>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14:textFill>
            <w14:solidFill>
              <w14:schemeClr w14:val="tx1"/>
            </w14:solidFill>
          </w14:textFill>
        </w:rPr>
        <w:t>（</w:t>
      </w: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三</w:t>
      </w:r>
      <w:r>
        <w:rPr>
          <w:rFonts w:hint="eastAsia" w:ascii="CESI楷体-GB2312" w:hAnsi="CESI楷体-GB2312" w:eastAsia="CESI楷体-GB2312" w:cs="CESI楷体-GB2312"/>
          <w:b w:val="0"/>
          <w:bCs w:val="0"/>
          <w:color w:val="000000" w:themeColor="text1"/>
          <w:sz w:val="32"/>
          <w:szCs w:val="32"/>
          <w14:textFill>
            <w14:solidFill>
              <w14:schemeClr w14:val="tx1"/>
            </w14:solidFill>
          </w14:textFill>
        </w:rPr>
        <w:t>）坚持严格规范公正文明执法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14:textFill>
            <w14:solidFill>
              <w14:schemeClr w14:val="tx1"/>
            </w14:solidFill>
          </w14:textFill>
        </w:rPr>
        <w:t>一是严格落实行政执法“三项制度”。</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根据《</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河南省</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生态环境</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厅</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全面推行行政执法公示制度执法全过程记录制度重大执法决定法制审核制度工作方案》，一是及时向社会公开查处情况，今年以来我局作出的</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18</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条行政处罚决定书均及时在县政府</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、发改委</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网站进行了公示。二是全面应用生态环境移动执法系统开展现场执法，实现执法全过程</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管理</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和可回溯管理。三是严格落实法制</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审核程序，</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重大执法决定</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由本单位专职法律顾问</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进行法制审核，未经法制审核或者审核未通过的，不作出决定。</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全年共出具法制审核意见</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3份。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bCs/>
          <w:color w:val="000000" w:themeColor="text1"/>
          <w:sz w:val="32"/>
          <w:szCs w:val="32"/>
          <w14:textFill>
            <w14:solidFill>
              <w14:schemeClr w14:val="tx1"/>
            </w14:solidFill>
          </w14:textFill>
        </w:rPr>
        <w:t>二是强化行政执法人员持证上岗管理。</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积极组织执法人员参与“法治教育网”平台网络培训，并取得了《行政执法证》证件，不存在无证执法、工勤岗位和临时工执法现象。三是严肃查处环境违法行为。202</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4</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年共出动执法检查人员</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73</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0余人次，检查企业</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325</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家次，下达执法文书</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18</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份，立案查处环境违法行为</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18</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件，共处罚金</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124</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余万元，移送公安机关调查处理</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起，行政拘留</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CESI楷体-GB2312" w:hAnsi="CESI楷体-GB2312" w:eastAsia="CESI楷体-GB2312" w:cs="CESI楷体-GB2312"/>
          <w:b w:val="0"/>
          <w:bCs w:val="0"/>
          <w:color w:val="000000" w:themeColor="text1"/>
          <w:sz w:val="32"/>
          <w:szCs w:val="32"/>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14:textFill>
            <w14:solidFill>
              <w14:schemeClr w14:val="tx1"/>
            </w14:solidFill>
          </w14:textFill>
        </w:rPr>
        <w:t>（</w:t>
      </w: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四</w:t>
      </w:r>
      <w:r>
        <w:rPr>
          <w:rFonts w:hint="eastAsia" w:ascii="CESI楷体-GB2312" w:hAnsi="CESI楷体-GB2312" w:eastAsia="CESI楷体-GB2312" w:cs="CESI楷体-GB2312"/>
          <w:b w:val="0"/>
          <w:bCs w:val="0"/>
          <w:color w:val="000000" w:themeColor="text1"/>
          <w:sz w:val="32"/>
          <w:szCs w:val="32"/>
          <w14:textFill>
            <w14:solidFill>
              <w14:schemeClr w14:val="tx1"/>
            </w14:solidFill>
          </w14:textFill>
        </w:rPr>
        <w:t>）强化行政权力制约与监督</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14:textFill>
            <w14:solidFill>
              <w14:schemeClr w14:val="tx1"/>
            </w14:solidFill>
          </w14:textFill>
        </w:rPr>
      </w:pPr>
      <w:r>
        <w:rPr>
          <w:rFonts w:hint="eastAsia" w:ascii="CESI仿宋-GB2312" w:hAnsi="CESI仿宋-GB2312" w:eastAsia="CESI仿宋-GB2312" w:cs="CESI仿宋-GB2312"/>
          <w:b/>
          <w:bCs/>
          <w:color w:val="000000" w:themeColor="text1"/>
          <w:sz w:val="32"/>
          <w:szCs w:val="32"/>
          <w14:textFill>
            <w14:solidFill>
              <w14:schemeClr w14:val="tx1"/>
            </w14:solidFill>
          </w14:textFill>
        </w:rPr>
        <w:t>一是主动接受人大代表、政协委员的监督。</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充分听取人大代表、政协委员意见和建议，认真办理并按时办结人大代表议案和政协委员提案。</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14:textFill>
            <w14:solidFill>
              <w14:schemeClr w14:val="tx1"/>
            </w14:solidFill>
          </w14:textFill>
        </w:rPr>
        <w:t>二是主动接受群众监督。</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畅通</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生态环境举报投诉渠道</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、12369环保微信举报平台，规范信访办理流程，及时依法依规处理群众合理合法信访诉求。202</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4</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年我局共受理和参与处理</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12369、12345、县网络舆情、县信访局等</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各类环境信访投诉</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124</w:t>
      </w:r>
      <w:r>
        <w:rPr>
          <w:rFonts w:hint="eastAsia" w:ascii="CESI仿宋-GB2312" w:hAnsi="CESI仿宋-GB2312" w:eastAsia="CESI仿宋-GB2312" w:cs="CESI仿宋-GB2312"/>
          <w:b w:val="0"/>
          <w:bCs w:val="0"/>
          <w:color w:val="000000" w:themeColor="text1"/>
          <w:sz w:val="32"/>
          <w:szCs w:val="32"/>
          <w14:textFill>
            <w14:solidFill>
              <w14:schemeClr w14:val="tx1"/>
            </w14:solidFill>
          </w14:textFill>
        </w:rPr>
        <w:t>余件（次），均进</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行了及时办理和回复。</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（五）全面提高政府工作人员法制思维和依法行政能力</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eastAsia="zh-CN"/>
          <w14:textFill>
            <w14:solidFill>
              <w14:schemeClr w14:val="tx1"/>
            </w14:solidFill>
          </w14:textFill>
        </w:rPr>
        <w:t>一是严格履行单位主要负责人法治建设第一责任人职责。</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根据《党政主要负责人履行推进法治建设第一责任人职责规定》，我分局严格按照工作要求，主要负责人主动履行职责，加强对分局法治建设的组织领导，强化“四个亲自”落实执行，并及时报告每半年和年度法治政府建设工作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eastAsia="zh-CN"/>
          <w14:textFill>
            <w14:solidFill>
              <w14:schemeClr w14:val="tx1"/>
            </w14:solidFill>
          </w14:textFill>
        </w:rPr>
        <w:t>二是坚持带头学法用法。</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将宪法、法律和党内法规列入局长办公会和局班子中心组学习内容，今年以来，先后将《中华人民共和国宪法》、《中国共产党章程》、《中华人民共和国民法典》、《中华人民共和国环境保护法》、《中华人民共和国行政处罚法》、《中华人民共和国水污染防治法》、《中华人民共和国大气污染防治法》、《中华人民共和国长江保护法》、《法治政府建设与责任落实督察工作规定》《党政主要负责人履行推进法治建设第一责任人职责规定》等法律法规纳入了学习内容。积极组织本单位干部职工参与202</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年国家工作人员学法用法考试，参与率和考试合格率均达100%。</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仿宋-GB2312" w:hAnsi="CESI仿宋-GB2312" w:eastAsia="CESI仿宋-GB2312" w:cs="CESI仿宋-GB2312"/>
          <w:b/>
          <w:bCs/>
          <w:color w:val="000000" w:themeColor="text1"/>
          <w:sz w:val="32"/>
          <w:szCs w:val="32"/>
          <w:lang w:eastAsia="zh-CN"/>
          <w14:textFill>
            <w14:solidFill>
              <w14:schemeClr w14:val="tx1"/>
            </w14:solidFill>
          </w14:textFill>
        </w:rPr>
        <w:t>三是强化法治宣传教育。</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充分利用202</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4</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年世界“六．五”环境日、“12.4”宪法宣传周等重要宣传系列活动以及深入企业一线执法检查、驻村帮扶走访等契机，通过发放宣传资料、现场法律咨询解答、召开群众会等形式开展法治宣传。借助局党务政务公开栏、 LED 电子显示屏、 QQ 、微信等方式，广泛向单位干部职工和社会宣传宪法、民法典、环境保护法等各类法律法规，营造浓厚的法治宣传氛围。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二、</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（一）生态环境执法队伍建设仍需加强。</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随着生态环境保护工作的不断深入，监管范围的不断拓宽，环境执法监管任务增加，而我局在实际工作中从事生态环境执法工作人数仅</w:t>
      </w: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20余</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人，其余人员均被调剂到任务繁重的其他岗位工作，现有人员时间、精力有限，无法完全满足现阶段环保工作面临的形势任务及社会公众的期待。同时，执法人员的培训力度不够，培训渠道和手段单一，部分执法人员存在重实际工作，轻理论学习现象。</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（二）一些企业环保主体责任不强。</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由于一些企业社会责任感不强，诚信守法意识薄弱，缓建环保设施或者不正常使用环保设备，使建成的环保设施不能充分发挥应有效益，一旦被查处，就以各种理由搪塞、拖延，这些都严重影响了环境执法效率，致使环境违法行为难以得到及时纠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三、下步工作计划</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（一）始终保持严格执法监管标准。</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全面贯彻党的二十大精神和习近平法治思想，坚持“管治结合，以查促管、以管促治”，工作思路进一步压实各部门的环境监管责任，打好“组合拳”，消除隐患、根治污染、保障环境安全。力争全面落实网格化环境监管责任，加大违法建设项目的查处力度，加强事中事后监管。强化环境行政执法与刑事司法的衔接配合，进步加大对偷排偷放、不正常使用污染防治设施等恶意环境违法犯罪行为的打击惩处力度，让守法成为常态，让违法无处遁形，有序推进全县环境质量改善。</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（二）加强干部队伍执法能力提升。</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持续加强对行政执法人员的学习培训，提高行政执法人员对生态环境法律法规的学习理解能力、对生态环境违法行为的调查取证能力、对执法文书的制作运用能力。同时，建立健全工作制度，通过经常性自查和案卷评查，主动发现问题，及时整改，进一步提高执法水平和执法能力，促进依法行政水平和法治政府建设。</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r>
        <w:rPr>
          <w:rFonts w:hint="eastAsia" w:ascii="CESI楷体-GB2312" w:hAnsi="CESI楷体-GB2312" w:eastAsia="CESI楷体-GB2312" w:cs="CESI楷体-GB2312"/>
          <w:b w:val="0"/>
          <w:bCs w:val="0"/>
          <w:color w:val="000000" w:themeColor="text1"/>
          <w:sz w:val="32"/>
          <w:szCs w:val="32"/>
          <w:lang w:eastAsia="zh-CN"/>
          <w14:textFill>
            <w14:solidFill>
              <w14:schemeClr w14:val="tx1"/>
            </w14:solidFill>
          </w14:textFill>
        </w:rPr>
        <w:t>（三）创新法治政府工作机制体制。</w:t>
      </w:r>
      <w:r>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t>积极探索推动公众参与、支持和监督生态环保工作的法治途径，以及大数据运用，第三方专业机构参与等方式，提升生态环境和污染防治法治建设的成效和水平，努力推动环境治理体系和治理能力现代化，助力在生态环境文明建设上出新绩。</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eastAsia="zh-CN"/>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 xml:space="preserve">                     三门峡市生态环境局卢氏分局</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pPr>
      <w:r>
        <w:rPr>
          <w:rFonts w:hint="eastAsia" w:ascii="CESI仿宋-GB2312" w:hAnsi="CESI仿宋-GB2312" w:eastAsia="CESI仿宋-GB2312" w:cs="CESI仿宋-GB2312"/>
          <w:b w:val="0"/>
          <w:bCs w:val="0"/>
          <w:color w:val="000000" w:themeColor="text1"/>
          <w:sz w:val="32"/>
          <w:szCs w:val="32"/>
          <w:lang w:val="en-US" w:eastAsia="zh-CN"/>
          <w14:textFill>
            <w14:solidFill>
              <w14:schemeClr w14:val="tx1"/>
            </w14:solidFill>
          </w14:textFill>
        </w:rPr>
        <w:t xml:space="preserve">                               2024年12月6日</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1" w:fontKey="{BCEEF8C7-C492-4A73-B687-F3E1F39C453F}"/>
  </w:font>
  <w:font w:name="Calibri Light">
    <w:altName w:val="Calibri"/>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2" w:fontKey="{18204320-5238-4E2A-899B-DDC02CC929D8}"/>
  </w:font>
  <w:font w:name="楷体">
    <w:panose1 w:val="02010609060101010101"/>
    <w:charset w:val="86"/>
    <w:family w:val="auto"/>
    <w:pitch w:val="default"/>
    <w:sig w:usb0="800002BF" w:usb1="38CF7CFA" w:usb2="00000016" w:usb3="00000000" w:csb0="00040001" w:csb1="00000000"/>
    <w:embedRegular r:id="rId3" w:fontKey="{45E7C1F3-B3F5-4C40-9420-1BE401EDA910}"/>
  </w:font>
  <w:font w:name="CESI仿宋-GB2312">
    <w:altName w:val="仿宋"/>
    <w:panose1 w:val="02000500000000000000"/>
    <w:charset w:val="86"/>
    <w:family w:val="auto"/>
    <w:pitch w:val="default"/>
    <w:sig w:usb0="00000000" w:usb1="00000000" w:usb2="00000010" w:usb3="00000000" w:csb0="0004000F" w:csb1="00000000"/>
    <w:embedRegular r:id="rId4" w:fontKey="{814001C9-FCDE-441B-B6BB-A503A43DB985}"/>
  </w:font>
  <w:font w:name="方正黑体_GBK">
    <w:altName w:val="微软雅黑"/>
    <w:panose1 w:val="02000000000000000000"/>
    <w:charset w:val="86"/>
    <w:family w:val="auto"/>
    <w:pitch w:val="default"/>
    <w:sig w:usb0="00000000" w:usb1="00000000" w:usb2="00000000" w:usb3="00000000" w:csb0="00040000" w:csb1="00000000"/>
    <w:embedRegular r:id="rId5" w:fontKey="{FF57C7E9-3794-4991-91C1-1BA1396C3BCA}"/>
  </w:font>
  <w:font w:name="CESI楷体-GB2312">
    <w:altName w:val="宋体"/>
    <w:panose1 w:val="02000500000000000000"/>
    <w:charset w:val="86"/>
    <w:family w:val="auto"/>
    <w:pitch w:val="default"/>
    <w:sig w:usb0="00000000" w:usb1="00000000" w:usb2="00000012" w:usb3="00000000" w:csb0="0004000F" w:csb1="00000000"/>
    <w:embedRegular r:id="rId6" w:fontKey="{B509948D-CFBE-4B7C-9159-A452036987F1}"/>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3YjBjYjZmMjJhNTA4ZjI3MmI5Y2ZhN2ExZDJlMzMifQ=="/>
  </w:docVars>
  <w:rsids>
    <w:rsidRoot w:val="00000000"/>
    <w:rsid w:val="01CD7E40"/>
    <w:rsid w:val="09C76436"/>
    <w:rsid w:val="0BDC31C7"/>
    <w:rsid w:val="12C549B5"/>
    <w:rsid w:val="1C84143D"/>
    <w:rsid w:val="1E803E86"/>
    <w:rsid w:val="1EC41FC5"/>
    <w:rsid w:val="210C7C53"/>
    <w:rsid w:val="22DD18A7"/>
    <w:rsid w:val="240A66CC"/>
    <w:rsid w:val="273121C1"/>
    <w:rsid w:val="27441EF5"/>
    <w:rsid w:val="2826784C"/>
    <w:rsid w:val="290851A4"/>
    <w:rsid w:val="2A2E66BA"/>
    <w:rsid w:val="2B2362C5"/>
    <w:rsid w:val="2D2C76B3"/>
    <w:rsid w:val="318A0E4C"/>
    <w:rsid w:val="31C0486E"/>
    <w:rsid w:val="36915EE3"/>
    <w:rsid w:val="373F82C3"/>
    <w:rsid w:val="38AF73EA"/>
    <w:rsid w:val="3A0379ED"/>
    <w:rsid w:val="3B567FF1"/>
    <w:rsid w:val="3FAA090B"/>
    <w:rsid w:val="3FBB65C5"/>
    <w:rsid w:val="408D6263"/>
    <w:rsid w:val="423746D8"/>
    <w:rsid w:val="447F2366"/>
    <w:rsid w:val="459260C9"/>
    <w:rsid w:val="485F6737"/>
    <w:rsid w:val="498521CD"/>
    <w:rsid w:val="49E35145"/>
    <w:rsid w:val="4C5D11DF"/>
    <w:rsid w:val="4E067654"/>
    <w:rsid w:val="4F9D5D96"/>
    <w:rsid w:val="54905ECA"/>
    <w:rsid w:val="55853555"/>
    <w:rsid w:val="5E3D2C1E"/>
    <w:rsid w:val="5FEA5512"/>
    <w:rsid w:val="60B66CB8"/>
    <w:rsid w:val="621C6FEF"/>
    <w:rsid w:val="730B2E93"/>
    <w:rsid w:val="737C2505"/>
    <w:rsid w:val="73B928EF"/>
    <w:rsid w:val="781C169F"/>
    <w:rsid w:val="7950335B"/>
    <w:rsid w:val="79701CA2"/>
    <w:rsid w:val="7B0703E4"/>
    <w:rsid w:val="7B783090"/>
    <w:rsid w:val="7BFF9BEE"/>
    <w:rsid w:val="7F182BC0"/>
    <w:rsid w:val="7F6A7194"/>
    <w:rsid w:val="7FB5F6BE"/>
    <w:rsid w:val="AD3BB56B"/>
    <w:rsid w:val="BFF525E3"/>
    <w:rsid w:val="EFDFBACB"/>
    <w:rsid w:val="FABB80EC"/>
    <w:rsid w:val="FC7BB0A6"/>
    <w:rsid w:val="FCEF9F37"/>
    <w:rsid w:val="FF141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spacing w:before="240" w:after="60"/>
      <w:outlineLvl w:val="0"/>
    </w:pPr>
    <w:rPr>
      <w:rFonts w:cs="Times New Roman" w:asciiTheme="majorHAnsi" w:hAnsiTheme="majorHAnsi" w:eastAsiaTheme="majorEastAsia"/>
      <w:b/>
      <w:bCs/>
      <w:kern w:val="32"/>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2360</Words>
  <Characters>2437</Characters>
  <Lines>0</Lines>
  <Paragraphs>0</Paragraphs>
  <TotalTime>3</TotalTime>
  <ScaleCrop>false</ScaleCrop>
  <LinksUpToDate>false</LinksUpToDate>
  <CharactersWithSpaces>2497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2014-10-30T20:08:00Z</dcterms:created>
  <dc:creator>Administrator.PC-201909201041</dc:creator>
  <cp:lastModifiedBy>Sunshine</cp:lastModifiedBy>
  <dcterms:modified xsi:type="dcterms:W3CDTF">2026-01-07T02:11:12Z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2C44888FDE7A4B8A81070808EB3A787C</vt:lpwstr>
  </property>
</Properties>
</file>