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val="en-US" w:eastAsia="zh-CN"/>
        </w:rPr>
        <w:t>双槐树乡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0"/>
          <w:szCs w:val="40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0"/>
          <w:szCs w:val="40"/>
        </w:rPr>
        <w:t>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双槐树乡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双槐树乡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双槐树乡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双槐树乡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双槐树乡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双槐树乡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双槐树乡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双槐树乡2025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4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31</w:t>
      </w:r>
      <w:bookmarkStart w:id="0" w:name="_GoBack"/>
      <w:bookmarkEnd w:id="0"/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3C1E09B7"/>
    <w:rsid w:val="4F8C27D0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2003</Words>
  <Characters>2098</Characters>
  <TotalTime>11</TotalTime>
  <ScaleCrop>false</ScaleCrop>
  <LinksUpToDate>false</LinksUpToDate>
  <CharactersWithSpaces>2316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李毅</cp:lastModifiedBy>
  <dcterms:modified xsi:type="dcterms:W3CDTF">2026-01-20T09:05:48Z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eyJoZGlkIjoiYmIzMDk5MzlhODYyODBlMzcxZDk2NTU5OGIwYTYxNDYiLCJ1c2VySWQiOiIxMTIwOTM0MTQ2In0=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