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卢氏县发展和改革委员会</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2025年度法治政府建设情况</w:t>
      </w:r>
      <w:bookmarkStart w:id="0" w:name="_GoBack"/>
      <w:bookmarkEnd w:id="0"/>
      <w:r>
        <w:rPr>
          <w:rFonts w:hint="eastAsia" w:ascii="方正小标宋简体" w:hAnsi="方正小标宋简体" w:eastAsia="方正小标宋简体" w:cs="方正小标宋简体"/>
          <w:spacing w:val="0"/>
          <w:sz w:val="44"/>
          <w:szCs w:val="44"/>
          <w:lang w:eastAsia="zh-CN"/>
        </w:rPr>
        <w:t>报告</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0"/>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2025年，县发展和改革委员会坚持以习近平新时代中国特色社会主义思想为指导，深入践行习近平法治思想，全面贯彻党的二十大及历次全会精神，紧紧围绕县委、县政府法治政府建设工作部署，立足发展改革核心职能，以提升依法治理能力为主线，以规范行政行为为重点，持续深化法治建设各项工作，为全县经济社会高质量发展筑牢法治根基，各项工作取得阶段性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一、强化统筹引领，夯实法治建设根基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（一）健全组织保障机制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b w:val="0"/>
          <w:bCs w:val="0"/>
          <w:spacing w:val="0"/>
          <w:kern w:val="2"/>
          <w:sz w:val="32"/>
          <w:szCs w:val="32"/>
          <w:highlight w:val="none"/>
          <w:lang w:val="en-US" w:eastAsia="zh-CN" w:bidi="ar-SA"/>
        </w:rPr>
      </w:pPr>
      <w:r>
        <w:rPr>
          <w:rFonts w:hint="eastAsia" w:ascii="Times New Roman" w:hAnsi="Times New Roman" w:eastAsia="仿宋_GB2312" w:cs="仿宋_GB2312"/>
          <w:b w:val="0"/>
          <w:bCs w:val="0"/>
          <w:spacing w:val="0"/>
          <w:kern w:val="2"/>
          <w:sz w:val="32"/>
          <w:szCs w:val="32"/>
          <w:highlight w:val="none"/>
          <w:lang w:val="en-US" w:eastAsia="zh-CN" w:bidi="ar-SA"/>
        </w:rPr>
        <w:t>全面贯彻落实《党政主要负责人履行推进法治建设第一责任人职责规定》，根据机关人事调整及工作实际需求，及时优化调整委法治政府建设和普法依法治理领导小组，</w:t>
      </w:r>
      <w:r>
        <w:rPr>
          <w:rFonts w:hint="default" w:ascii="Times New Roman" w:hAnsi="Times New Roman" w:eastAsia="仿宋_GB2312" w:cs="仿宋_GB2312"/>
          <w:b w:val="0"/>
          <w:bCs w:val="0"/>
          <w:spacing w:val="0"/>
          <w:kern w:val="2"/>
          <w:sz w:val="32"/>
          <w:szCs w:val="32"/>
          <w:highlight w:val="none"/>
          <w:lang w:val="en-US" w:eastAsia="zh-CN" w:bidi="ar-SA"/>
        </w:rPr>
        <w:t>专题研究法治建设工作，审议法治建设年度计划、重大执法事项等，</w:t>
      </w:r>
      <w:r>
        <w:rPr>
          <w:rFonts w:hint="eastAsia" w:ascii="Times New Roman" w:hAnsi="Times New Roman" w:eastAsia="仿宋_GB2312" w:cs="仿宋_GB2312"/>
          <w:b w:val="0"/>
          <w:bCs w:val="0"/>
          <w:spacing w:val="0"/>
          <w:kern w:val="2"/>
          <w:sz w:val="32"/>
          <w:szCs w:val="32"/>
          <w:highlight w:val="none"/>
          <w:lang w:val="en-US" w:eastAsia="zh-CN" w:bidi="ar-SA"/>
        </w:rPr>
        <w:t>进一步巩固“一把手”负总责、班子成员分工负责、各科室协同推进的工作格局，层层压实工作责任，确保法治建设各项工作有序推进。</w:t>
      </w:r>
      <w:r>
        <w:rPr>
          <w:rFonts w:hint="default" w:ascii="Times New Roman" w:hAnsi="Times New Roman" w:eastAsia="仿宋_GB2312" w:cs="仿宋_GB2312"/>
          <w:b w:val="0"/>
          <w:bCs w:val="0"/>
          <w:spacing w:val="0"/>
          <w:kern w:val="2"/>
          <w:sz w:val="32"/>
          <w:szCs w:val="32"/>
          <w:highlight w:val="none"/>
          <w:lang w:val="en-US" w:eastAsia="zh-CN" w:bidi="ar-SA"/>
        </w:rPr>
        <w:t>党政主要负责人严格落实《党政主要负责人履行推进法治建设第一责任人职责规定》，带头践行法治理念，将法治要求贯穿“三重一大”事项决策全过程。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kern w:val="2"/>
          <w:sz w:val="32"/>
          <w:szCs w:val="32"/>
          <w:lang w:val="en-US" w:eastAsia="zh-CN" w:bidi="ar-SA"/>
        </w:rPr>
        <w:t>（二）</w:t>
      </w:r>
      <w:r>
        <w:rPr>
          <w:rFonts w:hint="eastAsia" w:ascii="楷体_GB2312" w:hAnsi="楷体_GB2312" w:eastAsia="楷体_GB2312" w:cs="楷体_GB2312"/>
          <w:b/>
          <w:bCs/>
          <w:spacing w:val="0"/>
          <w:sz w:val="32"/>
          <w:szCs w:val="32"/>
          <w:lang w:val="en-US" w:eastAsia="zh-CN"/>
        </w:rPr>
        <w:t>严格</w:t>
      </w:r>
      <w:r>
        <w:rPr>
          <w:rFonts w:hint="default" w:ascii="楷体_GB2312" w:hAnsi="楷体_GB2312" w:eastAsia="楷体_GB2312" w:cs="楷体_GB2312"/>
          <w:b/>
          <w:bCs/>
          <w:spacing w:val="0"/>
          <w:sz w:val="32"/>
          <w:szCs w:val="32"/>
          <w:lang w:val="en-US" w:eastAsia="zh-CN"/>
        </w:rPr>
        <w:t>规范决策程序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Times New Roman" w:hAnsi="Times New Roman" w:eastAsia="仿宋_GB2312" w:cs="仿宋_GB2312"/>
          <w:spacing w:val="0"/>
          <w:sz w:val="32"/>
          <w:szCs w:val="32"/>
          <w:lang w:val="en-US" w:eastAsia="zh-CN"/>
        </w:rPr>
      </w:pPr>
      <w:r>
        <w:rPr>
          <w:rFonts w:hint="default" w:ascii="Times New Roman" w:hAnsi="Times New Roman" w:eastAsia="仿宋_GB2312" w:cs="仿宋_GB2312"/>
          <w:spacing w:val="0"/>
          <w:sz w:val="32"/>
          <w:szCs w:val="32"/>
          <w:lang w:val="en-US" w:eastAsia="zh-CN"/>
        </w:rPr>
        <w:t>严格执行“三重一大”决策制度和重大行政决策程序规定，</w:t>
      </w:r>
      <w:r>
        <w:rPr>
          <w:rFonts w:hint="eastAsia" w:ascii="Times New Roman" w:hAnsi="Times New Roman" w:eastAsia="仿宋_GB2312" w:cs="仿宋_GB2312"/>
          <w:spacing w:val="0"/>
          <w:sz w:val="32"/>
          <w:szCs w:val="32"/>
          <w:lang w:val="en-US" w:eastAsia="zh-CN"/>
        </w:rPr>
        <w:t>凡涉及重大事项决策、重要人事任免、重大项目安排和大额资金使用等，都必须经过集体研究决定，遵循科学决策、民主决策、依法决策有机统一，充分听取各方面意见，依法接受本级人大、司法、审计等部门的监督，达到了决策事项程序合法、内容合法、适应经济社会发展和全面深化改革的要求。</w:t>
      </w:r>
      <w:r>
        <w:rPr>
          <w:rFonts w:hint="default" w:ascii="Times New Roman" w:hAnsi="Times New Roman" w:eastAsia="仿宋_GB2312" w:cs="仿宋_GB2312"/>
          <w:spacing w:val="0"/>
          <w:sz w:val="32"/>
          <w:szCs w:val="32"/>
          <w:lang w:val="en-US" w:eastAsia="zh-CN"/>
        </w:rPr>
        <w:t>全年对</w:t>
      </w:r>
      <w:r>
        <w:rPr>
          <w:rFonts w:hint="eastAsia" w:ascii="Times New Roman" w:hAnsi="Times New Roman" w:eastAsia="仿宋_GB2312" w:cs="仿宋_GB2312"/>
          <w:spacing w:val="0"/>
          <w:sz w:val="32"/>
          <w:szCs w:val="32"/>
          <w:lang w:val="en-US" w:eastAsia="zh-CN"/>
        </w:rPr>
        <w:t>22</w:t>
      </w:r>
      <w:r>
        <w:rPr>
          <w:rFonts w:hint="default" w:ascii="Times New Roman" w:hAnsi="Times New Roman" w:eastAsia="仿宋_GB2312" w:cs="仿宋_GB2312"/>
          <w:spacing w:val="0"/>
          <w:sz w:val="32"/>
          <w:szCs w:val="32"/>
          <w:lang w:val="en-US" w:eastAsia="zh-CN"/>
        </w:rPr>
        <w:t>项大额资金使用、</w:t>
      </w:r>
      <w:r>
        <w:rPr>
          <w:rFonts w:hint="eastAsia" w:ascii="Times New Roman" w:hAnsi="Times New Roman" w:eastAsia="仿宋_GB2312" w:cs="仿宋_GB2312"/>
          <w:spacing w:val="0"/>
          <w:sz w:val="32"/>
          <w:szCs w:val="32"/>
          <w:lang w:val="en-US" w:eastAsia="zh-CN"/>
        </w:rPr>
        <w:t>7</w:t>
      </w:r>
      <w:r>
        <w:rPr>
          <w:rFonts w:hint="default" w:ascii="Times New Roman" w:hAnsi="Times New Roman" w:eastAsia="仿宋_GB2312" w:cs="仿宋_GB2312"/>
          <w:spacing w:val="0"/>
          <w:sz w:val="32"/>
          <w:szCs w:val="32"/>
          <w:lang w:val="en-US" w:eastAsia="zh-CN"/>
        </w:rPr>
        <w:t>名干部任免</w:t>
      </w:r>
      <w:r>
        <w:rPr>
          <w:rFonts w:hint="eastAsia" w:ascii="Times New Roman" w:hAnsi="Times New Roman" w:eastAsia="仿宋_GB2312" w:cs="仿宋_GB2312"/>
          <w:spacing w:val="0"/>
          <w:sz w:val="32"/>
          <w:szCs w:val="32"/>
          <w:lang w:val="en-US" w:eastAsia="zh-CN"/>
        </w:rPr>
        <w:t>、职级晋升</w:t>
      </w:r>
      <w:r>
        <w:rPr>
          <w:rFonts w:hint="default" w:ascii="Times New Roman" w:hAnsi="Times New Roman" w:eastAsia="仿宋_GB2312" w:cs="仿宋_GB2312"/>
          <w:spacing w:val="0"/>
          <w:sz w:val="32"/>
          <w:szCs w:val="32"/>
          <w:lang w:val="en-US" w:eastAsia="zh-CN"/>
        </w:rPr>
        <w:t>等事项进行集体决策，所有决策事项均履行合法性审查、风险评估等程序，确保决策科学合法。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（三）深化党纪法规学习教育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持续以《中国共产党纪律处分条例》为核心教材，将《中华人民共和国宪法》等基本法、《政府投资条例》《中华人民共和国节约能源法》《优化营商环境条例》《中华人民共和国招标投标法》等行业法律法规作为必学内容</w:t>
      </w:r>
      <w:r>
        <w:rPr>
          <w:rFonts w:hint="default" w:ascii="Times New Roman" w:hAnsi="Times New Roman" w:eastAsia="仿宋_GB2312" w:cs="仿宋_GB2312"/>
          <w:spacing w:val="0"/>
          <w:sz w:val="32"/>
          <w:szCs w:val="32"/>
          <w:lang w:val="en-US" w:eastAsia="zh-CN"/>
        </w:rPr>
        <w:t>纳入党组理论学习中心组学习计划，</w:t>
      </w:r>
      <w:r>
        <w:rPr>
          <w:rFonts w:hint="eastAsia" w:ascii="Times New Roman" w:hAnsi="Times New Roman" w:eastAsia="仿宋_GB2312" w:cs="仿宋_GB2312"/>
          <w:spacing w:val="0"/>
          <w:sz w:val="32"/>
          <w:szCs w:val="32"/>
          <w:lang w:val="en-US" w:eastAsia="zh-CN"/>
        </w:rPr>
        <w:t>创新学习形式，开展专题研学、案例剖析、廉政警示教育等活动，</w:t>
      </w:r>
      <w:r>
        <w:rPr>
          <w:rFonts w:hint="default" w:ascii="Times New Roman" w:hAnsi="Times New Roman" w:eastAsia="仿宋_GB2312" w:cs="仿宋_GB2312"/>
          <w:spacing w:val="0"/>
          <w:sz w:val="32"/>
          <w:szCs w:val="32"/>
          <w:lang w:val="en-US" w:eastAsia="zh-CN"/>
        </w:rPr>
        <w:t>全年组织集中学法12次，专题研讨4次</w:t>
      </w:r>
      <w:r>
        <w:rPr>
          <w:rFonts w:hint="eastAsia" w:ascii="Times New Roman" w:hAnsi="Times New Roman" w:eastAsia="仿宋_GB2312" w:cs="仿宋_GB2312"/>
          <w:spacing w:val="0"/>
          <w:sz w:val="32"/>
          <w:szCs w:val="32"/>
          <w:lang w:val="en-US" w:eastAsia="zh-CN"/>
        </w:rPr>
        <w:t>。</w:t>
      </w:r>
      <w:r>
        <w:rPr>
          <w:rFonts w:hint="default" w:ascii="Times New Roman" w:hAnsi="Times New Roman" w:eastAsia="仿宋_GB2312" w:cs="仿宋_GB2312"/>
          <w:spacing w:val="0"/>
          <w:sz w:val="32"/>
          <w:szCs w:val="32"/>
          <w:lang w:val="en-US" w:eastAsia="zh-CN"/>
        </w:rPr>
        <w:t>持续开展“发改大讲堂”活动，邀请</w:t>
      </w:r>
      <w:r>
        <w:rPr>
          <w:rFonts w:hint="eastAsia" w:ascii="Times New Roman" w:hAnsi="Times New Roman" w:eastAsia="仿宋_GB2312" w:cs="仿宋_GB2312"/>
          <w:spacing w:val="0"/>
          <w:sz w:val="32"/>
          <w:szCs w:val="32"/>
          <w:lang w:val="en-US" w:eastAsia="zh-CN"/>
        </w:rPr>
        <w:t>相关</w:t>
      </w:r>
      <w:r>
        <w:rPr>
          <w:rFonts w:hint="default" w:ascii="Times New Roman" w:hAnsi="Times New Roman" w:eastAsia="仿宋_GB2312" w:cs="仿宋_GB2312"/>
          <w:spacing w:val="0"/>
          <w:sz w:val="32"/>
          <w:szCs w:val="32"/>
          <w:lang w:val="en-US" w:eastAsia="zh-CN"/>
        </w:rPr>
        <w:t>专家、业务骨干围绕重大行政决策、行政执法规范等内容授课，组织干部职工参加线上</w:t>
      </w:r>
      <w:r>
        <w:rPr>
          <w:rFonts w:hint="eastAsia" w:ascii="Times New Roman" w:hAnsi="Times New Roman" w:eastAsia="仿宋_GB2312" w:cs="仿宋_GB2312"/>
          <w:spacing w:val="0"/>
          <w:sz w:val="32"/>
          <w:szCs w:val="32"/>
          <w:lang w:val="en-US" w:eastAsia="zh-CN"/>
        </w:rPr>
        <w:t>国家安全</w:t>
      </w:r>
      <w:r>
        <w:rPr>
          <w:rFonts w:hint="default" w:ascii="Times New Roman" w:hAnsi="Times New Roman" w:eastAsia="仿宋_GB2312" w:cs="仿宋_GB2312"/>
          <w:spacing w:val="0"/>
          <w:sz w:val="32"/>
          <w:szCs w:val="32"/>
          <w:lang w:val="en-US" w:eastAsia="zh-CN"/>
        </w:rPr>
        <w:t>法治</w:t>
      </w:r>
      <w:r>
        <w:rPr>
          <w:rFonts w:hint="eastAsia" w:ascii="Times New Roman" w:hAnsi="Times New Roman" w:eastAsia="仿宋_GB2312" w:cs="仿宋_GB2312"/>
          <w:spacing w:val="0"/>
          <w:sz w:val="32"/>
          <w:szCs w:val="32"/>
          <w:lang w:val="en-US" w:eastAsia="zh-CN"/>
        </w:rPr>
        <w:t>学习</w:t>
      </w:r>
      <w:r>
        <w:rPr>
          <w:rFonts w:hint="default" w:ascii="Times New Roman" w:hAnsi="Times New Roman" w:eastAsia="仿宋_GB2312" w:cs="仿宋_GB2312"/>
          <w:spacing w:val="0"/>
          <w:sz w:val="32"/>
          <w:szCs w:val="32"/>
          <w:lang w:val="en-US" w:eastAsia="zh-CN"/>
        </w:rPr>
        <w:t>30余人次</w:t>
      </w:r>
      <w:r>
        <w:rPr>
          <w:rFonts w:hint="eastAsia" w:ascii="Times New Roman" w:hAnsi="Times New Roman" w:eastAsia="仿宋_GB2312" w:cs="仿宋_GB2312"/>
          <w:spacing w:val="0"/>
          <w:sz w:val="32"/>
          <w:szCs w:val="32"/>
          <w:lang w:val="en-US" w:eastAsia="zh-CN"/>
        </w:rPr>
        <w:t>。坚持</w:t>
      </w:r>
      <w:r>
        <w:rPr>
          <w:rFonts w:hint="default" w:ascii="Times New Roman" w:hAnsi="Times New Roman" w:eastAsia="仿宋_GB2312" w:cs="仿宋_GB2312"/>
          <w:spacing w:val="0"/>
          <w:sz w:val="32"/>
          <w:szCs w:val="32"/>
          <w:lang w:val="en-US" w:eastAsia="zh-CN"/>
        </w:rPr>
        <w:t>深化学用结合，在重大项目审批、政策文件制定、价格监管等工作中，坚持先学法律、再作决策，确保各项工作始终在法治轨道上运行，切实把习近平法治思想转化为推动发展改革工作的生动实践</w:t>
      </w:r>
      <w:r>
        <w:rPr>
          <w:rFonts w:hint="eastAsia" w:ascii="Times New Roman" w:hAnsi="Times New Roman" w:eastAsia="仿宋_GB2312" w:cs="仿宋_GB2312"/>
          <w:spacing w:val="0"/>
          <w:sz w:val="32"/>
          <w:szCs w:val="32"/>
          <w:lang w:val="en-US" w:eastAsia="zh-CN"/>
        </w:rPr>
        <w:t>。推动干部职工将法治思维、纪律意识内化于心、外化于行，全年未发生违纪违法及违规执法行为。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二、聚焦主责主业，提升依法行政效能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（一）规范行政执法程序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楷体_GB2312" w:hAnsi="楷体_GB2312" w:eastAsia="楷体_GB2312" w:cs="楷体_GB2312"/>
          <w:b/>
          <w:bCs/>
          <w:spacing w:val="0"/>
          <w:kern w:val="0"/>
          <w:sz w:val="32"/>
          <w:szCs w:val="32"/>
          <w:lang w:val="en-US" w:eastAsia="zh-CN" w:bidi="ar"/>
        </w:rPr>
      </w:pPr>
      <w:r>
        <w:rPr>
          <w:rFonts w:hint="eastAsia" w:ascii="Times New Roman" w:hAnsi="Times New Roman" w:eastAsia="仿宋_GB2312" w:cs="仿宋_GB2312"/>
          <w:spacing w:val="0"/>
          <w:sz w:val="32"/>
          <w:szCs w:val="32"/>
          <w:lang w:val="en-US" w:eastAsia="zh-CN"/>
        </w:rPr>
        <w:t>在涉案财物价格认定方面，严格遵循相关法律法规和技术标准，确保认定结果的公正、客观、准确，为司法机关和行政执法部门提供了有力的价格依据，</w:t>
      </w:r>
      <w:r>
        <w:rPr>
          <w:rFonts w:hint="default" w:ascii="Times New Roman" w:hAnsi="Times New Roman" w:eastAsia="仿宋_GB2312" w:cs="仿宋_GB2312"/>
          <w:spacing w:val="0"/>
          <w:sz w:val="32"/>
          <w:szCs w:val="32"/>
          <w:lang w:val="en-US" w:eastAsia="zh-CN"/>
        </w:rPr>
        <w:t>做到事事咨询有回应，一次性告知，实现多项业务“最多跑一次”，部分业务“一次不用跑”。</w:t>
      </w:r>
      <w:r>
        <w:rPr>
          <w:rFonts w:hint="eastAsia" w:ascii="Times New Roman" w:hAnsi="Times New Roman" w:eastAsia="仿宋_GB2312" w:cs="仿宋_GB2312"/>
          <w:spacing w:val="0"/>
          <w:sz w:val="32"/>
          <w:szCs w:val="32"/>
          <w:lang w:val="en-US" w:eastAsia="zh-CN"/>
        </w:rPr>
        <w:t>本年度</w:t>
      </w:r>
      <w:r>
        <w:rPr>
          <w:rFonts w:hint="default" w:ascii="Times New Roman" w:hAnsi="Times New Roman" w:eastAsia="仿宋_GB2312" w:cs="仿宋_GB2312"/>
          <w:spacing w:val="0"/>
          <w:sz w:val="32"/>
          <w:szCs w:val="32"/>
          <w:lang w:val="en-US" w:eastAsia="zh-CN"/>
        </w:rPr>
        <w:t>共受理并办</w:t>
      </w:r>
      <w:r>
        <w:rPr>
          <w:rFonts w:hint="eastAsia" w:ascii="Times New Roman" w:hAnsi="Times New Roman" w:eastAsia="仿宋_GB2312" w:cs="仿宋_GB2312"/>
          <w:spacing w:val="0"/>
          <w:sz w:val="32"/>
          <w:szCs w:val="32"/>
          <w:lang w:val="en-US" w:eastAsia="zh-CN"/>
        </w:rPr>
        <w:t>结</w:t>
      </w:r>
      <w:r>
        <w:rPr>
          <w:rFonts w:hint="default" w:ascii="Times New Roman" w:hAnsi="Times New Roman" w:eastAsia="仿宋_GB2312" w:cs="仿宋_GB2312"/>
          <w:spacing w:val="0"/>
          <w:sz w:val="32"/>
          <w:szCs w:val="32"/>
          <w:lang w:val="en-US" w:eastAsia="zh-CN"/>
        </w:rPr>
        <w:t>涉案财物、涉纪检监察财物、</w:t>
      </w:r>
      <w:r>
        <w:rPr>
          <w:rFonts w:hint="eastAsia" w:ascii="Times New Roman" w:hAnsi="Times New Roman" w:eastAsia="仿宋_GB2312" w:cs="仿宋_GB2312"/>
          <w:spacing w:val="0"/>
          <w:sz w:val="32"/>
          <w:szCs w:val="32"/>
          <w:lang w:val="en-US" w:eastAsia="zh-CN"/>
        </w:rPr>
        <w:t>行政执法</w:t>
      </w:r>
      <w:r>
        <w:rPr>
          <w:rFonts w:hint="default" w:ascii="Times New Roman" w:hAnsi="Times New Roman" w:eastAsia="仿宋_GB2312" w:cs="仿宋_GB2312"/>
          <w:spacing w:val="0"/>
          <w:sz w:val="32"/>
          <w:szCs w:val="32"/>
          <w:lang w:val="en-US" w:eastAsia="zh-CN"/>
        </w:rPr>
        <w:t>价格等认定业务</w:t>
      </w:r>
      <w:r>
        <w:rPr>
          <w:rFonts w:hint="eastAsia" w:ascii="Times New Roman" w:hAnsi="Times New Roman" w:eastAsia="仿宋_GB2312" w:cs="仿宋_GB2312"/>
          <w:spacing w:val="0"/>
          <w:sz w:val="32"/>
          <w:szCs w:val="32"/>
          <w:lang w:val="en-US" w:eastAsia="zh-CN"/>
        </w:rPr>
        <w:t>70</w:t>
      </w:r>
      <w:r>
        <w:rPr>
          <w:rFonts w:hint="default" w:ascii="Times New Roman" w:hAnsi="Times New Roman" w:eastAsia="仿宋_GB2312" w:cs="仿宋_GB2312"/>
          <w:spacing w:val="0"/>
          <w:sz w:val="32"/>
          <w:szCs w:val="32"/>
          <w:lang w:val="en-US" w:eastAsia="zh-CN"/>
        </w:rPr>
        <w:t>件，价格认定总金额达</w:t>
      </w:r>
      <w:r>
        <w:rPr>
          <w:rFonts w:hint="eastAsia" w:ascii="Times New Roman" w:hAnsi="Times New Roman" w:eastAsia="仿宋_GB2312" w:cs="仿宋_GB2312"/>
          <w:spacing w:val="0"/>
          <w:sz w:val="32"/>
          <w:szCs w:val="32"/>
          <w:lang w:val="en-US" w:eastAsia="zh-CN"/>
        </w:rPr>
        <w:t>255.38</w:t>
      </w:r>
      <w:r>
        <w:rPr>
          <w:rFonts w:hint="default" w:ascii="Times New Roman" w:hAnsi="Times New Roman" w:eastAsia="仿宋_GB2312" w:cs="仿宋_GB2312"/>
          <w:spacing w:val="0"/>
          <w:sz w:val="32"/>
          <w:szCs w:val="32"/>
          <w:lang w:val="en-US" w:eastAsia="zh-CN"/>
        </w:rPr>
        <w:t>万元，接待价格认定咨询业务</w:t>
      </w:r>
      <w:r>
        <w:rPr>
          <w:rFonts w:hint="eastAsia" w:ascii="Times New Roman" w:hAnsi="Times New Roman" w:eastAsia="仿宋_GB2312" w:cs="仿宋_GB2312"/>
          <w:spacing w:val="0"/>
          <w:sz w:val="32"/>
          <w:szCs w:val="32"/>
          <w:lang w:val="en-US" w:eastAsia="zh-CN"/>
        </w:rPr>
        <w:t>22</w:t>
      </w:r>
      <w:r>
        <w:rPr>
          <w:rFonts w:hint="default" w:ascii="Times New Roman" w:hAnsi="Times New Roman" w:eastAsia="仿宋_GB2312" w:cs="仿宋_GB2312"/>
          <w:spacing w:val="0"/>
          <w:sz w:val="32"/>
          <w:szCs w:val="32"/>
          <w:lang w:val="en-US" w:eastAsia="zh-CN"/>
        </w:rPr>
        <w:t>件</w:t>
      </w:r>
      <w:r>
        <w:rPr>
          <w:rFonts w:hint="eastAsia" w:ascii="Times New Roman" w:hAnsi="Times New Roman" w:eastAsia="仿宋_GB2312" w:cs="仿宋_GB2312"/>
          <w:spacing w:val="0"/>
          <w:sz w:val="32"/>
          <w:szCs w:val="32"/>
          <w:lang w:val="en-US" w:eastAsia="zh-CN"/>
        </w:rPr>
        <w:t>。</w:t>
      </w:r>
      <w:r>
        <w:rPr>
          <w:rFonts w:hint="default" w:ascii="Times New Roman" w:hAnsi="Times New Roman" w:eastAsia="仿宋_GB2312" w:cs="仿宋_GB2312"/>
          <w:spacing w:val="0"/>
          <w:sz w:val="32"/>
          <w:szCs w:val="32"/>
          <w:lang w:val="en-US" w:eastAsia="zh-CN"/>
        </w:rPr>
        <w:t>出具的价格认定结论</w:t>
      </w:r>
      <w:r>
        <w:rPr>
          <w:rFonts w:hint="eastAsia" w:ascii="Times New Roman" w:hAnsi="Times New Roman" w:eastAsia="仿宋_GB2312" w:cs="仿宋_GB2312"/>
          <w:spacing w:val="0"/>
          <w:sz w:val="32"/>
          <w:szCs w:val="32"/>
          <w:lang w:val="en-US" w:eastAsia="zh-CN"/>
        </w:rPr>
        <w:t>做到了合法、客观、公正</w:t>
      </w:r>
      <w:r>
        <w:rPr>
          <w:rFonts w:hint="default" w:ascii="Times New Roman" w:hAnsi="Times New Roman" w:eastAsia="仿宋_GB2312" w:cs="仿宋_GB2312"/>
          <w:spacing w:val="0"/>
          <w:sz w:val="32"/>
          <w:szCs w:val="32"/>
          <w:lang w:val="en-US" w:eastAsia="zh-CN"/>
        </w:rPr>
        <w:t>，未发生一起复核案件，价格认定业务办结率达100%</w:t>
      </w:r>
      <w:r>
        <w:rPr>
          <w:rFonts w:hint="eastAsia" w:ascii="Times New Roman" w:hAnsi="Times New Roman" w:eastAsia="仿宋_GB2312" w:cs="仿宋_GB2312"/>
          <w:spacing w:val="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（二）优化法治化营商环境</w:t>
      </w:r>
    </w:p>
    <w:p>
      <w:pPr>
        <w:keepNext w:val="0"/>
        <w:keepLines w:val="0"/>
        <w:pageBreakBefore w:val="0"/>
        <w:numPr>
          <w:ilvl w:val="0"/>
          <w:numId w:val="0"/>
        </w:numPr>
        <w:kinsoku/>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一是狠抓问题整改提升。</w:t>
      </w:r>
      <w:r>
        <w:rPr>
          <w:rFonts w:hint="eastAsia" w:ascii="Times New Roman" w:hAnsi="Times New Roman" w:eastAsia="仿宋_GB2312" w:cs="仿宋_GB2312"/>
          <w:spacing w:val="0"/>
          <w:sz w:val="32"/>
          <w:szCs w:val="32"/>
          <w:lang w:val="en-US" w:eastAsia="zh-CN"/>
        </w:rPr>
        <w:t>紧密对接省级营商环境无感监测指标体系，聚焦184项监测数据，建立指标数据月调度机制，动态跟踪数据填报质量与排名动向，全年推动36项指标跻身全省上游，有效提升监测数据整体质量。针对省评反馈的突出问题，联合相关部门开展招投标领域专项整治，规范涉企交易行为，杜绝排除、限制竞争现象。</w:t>
      </w:r>
      <w:r>
        <w:rPr>
          <w:rFonts w:hint="eastAsia" w:ascii="Times New Roman" w:hAnsi="Times New Roman" w:eastAsia="仿宋_GB2312" w:cs="仿宋_GB2312"/>
          <w:b/>
          <w:bCs/>
          <w:spacing w:val="0"/>
          <w:sz w:val="32"/>
          <w:szCs w:val="32"/>
          <w:lang w:val="en-US" w:eastAsia="zh-CN"/>
        </w:rPr>
        <w:t>二是畅通政企互助渠道。</w:t>
      </w:r>
      <w:r>
        <w:rPr>
          <w:rFonts w:hint="eastAsia" w:ascii="Times New Roman" w:hAnsi="Times New Roman" w:eastAsia="仿宋_GB2312" w:cs="仿宋_GB2312"/>
          <w:spacing w:val="0"/>
          <w:sz w:val="32"/>
          <w:szCs w:val="32"/>
          <w:lang w:val="en-US" w:eastAsia="zh-CN"/>
        </w:rPr>
        <w:t>始终将提升企业满意度作为工作的出发点和落脚点，严格落实“两小时回访”制度，累计回访市场主体超13000家次。深入开展“营商环境大家评”活动，在全县各乡镇及县直单位窗口悬挂“我要评议”标识牌309个，收集评价超1600条，满意率达99%。严格落实“13710”工作机制，优化“事前预警”、会商研判、定期回访等流程，实现投诉案件快速响应、高效办理。2025年以来，省投诉平台案件数量显著下降，案件办理质量获得上级肯定。</w:t>
      </w:r>
      <w:r>
        <w:rPr>
          <w:rFonts w:hint="eastAsia" w:ascii="仿宋_GB2312" w:hAnsi="仿宋_GB2312" w:eastAsia="仿宋_GB2312" w:cs="仿宋_GB2312"/>
          <w:b/>
          <w:bCs/>
          <w:spacing w:val="0"/>
          <w:sz w:val="32"/>
          <w:szCs w:val="32"/>
          <w:lang w:val="en-US" w:eastAsia="zh-CN"/>
        </w:rPr>
        <w:t>三是推进“扫码入企”工作。</w:t>
      </w:r>
      <w:r>
        <w:rPr>
          <w:rFonts w:hint="eastAsia" w:ascii="Times New Roman" w:hAnsi="Times New Roman" w:eastAsia="仿宋_GB2312" w:cs="仿宋_GB2312"/>
          <w:spacing w:val="0"/>
          <w:sz w:val="32"/>
          <w:szCs w:val="32"/>
          <w:lang w:val="en-US" w:eastAsia="zh-CN"/>
        </w:rPr>
        <w:t>积极响应省、市关于“扫码入企”工作部署，着力规范涉企检查行为。先后两次组织召开专项工作培训会，对相关责任单位及乡镇进行业务培训。截至目前，规上企业赋码注册率已超86%，规下企业注册工作稳步推进，个体工商户赋码注册及标志牌制作工作正在有序开展，为实现涉企行政检查规范化、透明化，切实减轻企业负担奠定了坚实基础。</w:t>
      </w:r>
      <w:r>
        <w:rPr>
          <w:rFonts w:hint="eastAsia" w:ascii="仿宋_GB2312" w:hAnsi="仿宋_GB2312" w:eastAsia="仿宋_GB2312" w:cs="仿宋_GB2312"/>
          <w:b/>
          <w:bCs/>
          <w:spacing w:val="0"/>
          <w:sz w:val="32"/>
          <w:szCs w:val="32"/>
          <w:lang w:val="en-US" w:eastAsia="zh-CN"/>
        </w:rPr>
        <w:t>四是强化专项整治。</w:t>
      </w:r>
      <w:r>
        <w:rPr>
          <w:rFonts w:hint="eastAsia" w:ascii="仿宋_GB2312" w:hAnsi="仿宋_GB2312" w:eastAsia="仿宋_GB2312" w:cs="仿宋_GB2312"/>
          <w:spacing w:val="0"/>
          <w:sz w:val="32"/>
          <w:szCs w:val="32"/>
          <w:lang w:val="en-US" w:eastAsia="zh-CN"/>
        </w:rPr>
        <w:t>积极推进营商环境领域不正之风和腐败问题专项整治工作，定期联合纪委监委对重点部门涉及惠企政策落实、高效办成一件事、规范行政执法等领域的工作进行督导，阶段性收集工作进展，并按要求报送，确保专项整治工作走深走实，护航营商环境持续优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420" w:leftChars="200" w:right="0" w:rightChars="0"/>
        <w:jc w:val="left"/>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（三）深化招标投标领域系统整治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一是高位推动招标投标领域突出问题治理.</w:t>
      </w:r>
      <w:r>
        <w:rPr>
          <w:rFonts w:hint="eastAsia" w:ascii="Times New Roman" w:hAnsi="Times New Roman" w:eastAsia="仿宋_GB2312" w:cs="仿宋_GB2312"/>
          <w:spacing w:val="0"/>
          <w:sz w:val="32"/>
          <w:szCs w:val="32"/>
          <w:lang w:val="en-US" w:eastAsia="zh-CN"/>
        </w:rPr>
        <w:t>成立由县发改委牵头，17家行业部门及12个派驻纪检监察组组成的系统整治协作机制和工作专班，制定《卢氏县招标投标领域突出问题系统整治实施方案》，分解细化27项具体措施，明确职责分工，主动接受纪委监委监督，形成齐抓共管工作格局。</w:t>
      </w:r>
      <w:r>
        <w:rPr>
          <w:rFonts w:hint="eastAsia" w:ascii="仿宋_GB2312" w:hAnsi="仿宋_GB2312" w:eastAsia="仿宋_GB2312" w:cs="仿宋_GB2312"/>
          <w:b/>
          <w:bCs/>
          <w:spacing w:val="0"/>
          <w:sz w:val="32"/>
          <w:szCs w:val="32"/>
          <w:lang w:val="en-US" w:eastAsia="zh-CN"/>
        </w:rPr>
        <w:t>二是全面开展项目排查梳理</w:t>
      </w:r>
      <w:r>
        <w:rPr>
          <w:rFonts w:hint="eastAsia" w:ascii="Times New Roman" w:hAnsi="Times New Roman" w:eastAsia="仿宋_GB2312" w:cs="仿宋_GB2312"/>
          <w:spacing w:val="0"/>
          <w:sz w:val="32"/>
          <w:szCs w:val="32"/>
          <w:lang w:val="en-US" w:eastAsia="zh-CN"/>
        </w:rPr>
        <w:t>。围绕党的十八大以来依法必须招标的工程建设、政府采购等项目，累计梳理项目1640个，重点对照119项问题风险点，抽查项目83个，规范个别项目资料管理归档工作，未发现规避招标、虚假招标等严重违规问题。</w:t>
      </w:r>
      <w:r>
        <w:rPr>
          <w:rFonts w:hint="eastAsia" w:ascii="仿宋_GB2312" w:hAnsi="仿宋_GB2312" w:eastAsia="仿宋_GB2312" w:cs="仿宋_GB2312"/>
          <w:b/>
          <w:bCs/>
          <w:spacing w:val="0"/>
          <w:sz w:val="32"/>
          <w:szCs w:val="32"/>
          <w:lang w:val="en-US" w:eastAsia="zh-CN"/>
        </w:rPr>
        <w:t>三是强化制度创新与长效建设。</w:t>
      </w:r>
      <w:r>
        <w:rPr>
          <w:rFonts w:hint="eastAsia" w:ascii="Times New Roman" w:hAnsi="Times New Roman" w:eastAsia="仿宋_GB2312" w:cs="仿宋_GB2312"/>
          <w:spacing w:val="0"/>
          <w:sz w:val="32"/>
          <w:szCs w:val="32"/>
          <w:lang w:val="en-US" w:eastAsia="zh-CN"/>
        </w:rPr>
        <w:t>推动建立“事前审查、事中监督、事后评估”全链条管理机制，配合完善《卢氏县公共资源交易主体场内行为规范》等制度，全面推行“不见面开标”和“全流程电子化交易”，依法必须招标项目电子化交易率达100%。积极推进招标投标“评定分离”改革，制定《卢氏县评定分离操作指南》，构建“评审专业独立、定标权责闭环”体系，全年受理评定分离项目40个，有效破解“评定一体”权责模糊难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left"/>
        <w:textAlignment w:val="auto"/>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（四）提升政务服务质效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一是提升经济分析研判能力。</w:t>
      </w:r>
      <w:r>
        <w:rPr>
          <w:rFonts w:hint="eastAsia" w:ascii="Times New Roman" w:hAnsi="Times New Roman" w:eastAsia="仿宋_GB2312" w:cs="仿宋_GB2312"/>
          <w:spacing w:val="0"/>
          <w:sz w:val="32"/>
          <w:szCs w:val="32"/>
          <w:lang w:val="en-US" w:eastAsia="zh-CN"/>
        </w:rPr>
        <w:t>贯彻落实供给侧改革和新旧动能转换的工作要求，加强对全县主要指标运行情况的监测，提出既符合我县发展实际又具有可操作性的建议措施，强化分析研判，加强对规划计划实施情况的跟踪督导，及时发现经济发展中的薄弱环节和重点问题，形成有数据、有分析、有建议的分析报告，为县委县政府科学决策提供参考。</w:t>
      </w:r>
      <w:r>
        <w:rPr>
          <w:rFonts w:hint="eastAsia" w:ascii="Times New Roman" w:hAnsi="Times New Roman" w:eastAsia="仿宋_GB2312" w:cs="仿宋_GB2312"/>
          <w:b/>
          <w:bCs/>
          <w:spacing w:val="0"/>
          <w:sz w:val="32"/>
          <w:szCs w:val="32"/>
          <w:lang w:val="en-US" w:eastAsia="zh-CN"/>
        </w:rPr>
        <w:t>二是提高办事效率。</w:t>
      </w:r>
      <w:r>
        <w:rPr>
          <w:rFonts w:hint="eastAsia" w:ascii="Times New Roman" w:hAnsi="Times New Roman" w:eastAsia="仿宋_GB2312" w:cs="仿宋_GB2312"/>
          <w:spacing w:val="0"/>
          <w:sz w:val="32"/>
          <w:szCs w:val="32"/>
          <w:lang w:val="en-US" w:eastAsia="zh-CN"/>
        </w:rPr>
        <w:t>规范工作，主动服务，使服务对象在最短的时间完成办件事项，缩短审批时限，对符合政策、手续齐全的项目，做到即来即办；压缩审批环节，对条件成熟、资料尚不齐全、项目建设符合国家产业政策和发展方向的项目，先行受理，限期补齐资料。</w:t>
      </w:r>
      <w:r>
        <w:rPr>
          <w:rFonts w:hint="eastAsia" w:ascii="Times New Roman" w:hAnsi="Times New Roman" w:eastAsia="仿宋_GB2312" w:cs="仿宋_GB2312"/>
          <w:b/>
          <w:bCs/>
          <w:spacing w:val="0"/>
          <w:sz w:val="32"/>
          <w:szCs w:val="32"/>
          <w:lang w:val="en-US" w:eastAsia="zh-CN"/>
        </w:rPr>
        <w:t>三是严明纪律改进作风。</w:t>
      </w:r>
      <w:r>
        <w:rPr>
          <w:rFonts w:hint="eastAsia" w:ascii="Times New Roman" w:hAnsi="Times New Roman" w:eastAsia="仿宋_GB2312" w:cs="仿宋_GB2312"/>
          <w:spacing w:val="0"/>
          <w:sz w:val="32"/>
          <w:szCs w:val="32"/>
          <w:lang w:val="en-US" w:eastAsia="zh-CN"/>
        </w:rPr>
        <w:t>着力打造廉洁高效的政务环境，实施限时办结制、服务承诺制、责任追究制。对前来办事的人员，热情服务，认真履行职责，对受理的事项，严格依据政策作出明确说明，能办的马上办，不能办的解释清楚，坚决杜绝</w:t>
      </w:r>
      <w:r>
        <w:rPr>
          <w:rFonts w:hint="default"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门难进、脸难看、事难办</w:t>
      </w:r>
      <w:r>
        <w:rPr>
          <w:rFonts w:hint="default"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和</w:t>
      </w:r>
      <w:r>
        <w:rPr>
          <w:rFonts w:hint="default"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出工不出力</w:t>
      </w:r>
      <w:r>
        <w:rPr>
          <w:rFonts w:hint="default"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，真正做到清正廉洁、爱岗敬业。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三、落实普法责任，营造法治浓厚氛围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严格落实“谁执法谁普法”责任制，结合重要时间节点和工作实际，开展多元化普法宣传活动。在“4・15” 全民国家安全教育日、“宪法宣传周”等节点，通过现场咨询、发放宣传资料等形式，宣传</w:t>
      </w:r>
      <w:r>
        <w:rPr>
          <w:rFonts w:hint="eastAsia" w:ascii="Times New Roman" w:hAnsi="Times New Roman" w:eastAsia="仿宋_GB2312" w:cs="仿宋_GB2312"/>
          <w:spacing w:val="0"/>
          <w:kern w:val="2"/>
          <w:sz w:val="32"/>
          <w:szCs w:val="32"/>
          <w:lang w:val="en-US" w:eastAsia="zh-CN" w:bidi="ar-SA"/>
        </w:rPr>
        <w:t>《中华人民共和国能源法》、《中华人民共和国节约能源法》、《企业投资项目核准和备案管理条例》等法律知识</w:t>
      </w:r>
      <w:r>
        <w:rPr>
          <w:rFonts w:hint="eastAsia" w:ascii="Times New Roman" w:hAnsi="Times New Roman" w:eastAsia="仿宋_GB2312" w:cs="仿宋_GB2312"/>
          <w:spacing w:val="0"/>
          <w:sz w:val="32"/>
          <w:szCs w:val="32"/>
          <w:lang w:val="en-US" w:eastAsia="zh-CN"/>
        </w:rPr>
        <w:t>。针对企业、项目单位等服务对象，开展“法治进企业”活动，及时提供政策法律咨询，帮助企业解决法治层面难题，提升企业依法经营意识。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下一步，我委将</w:t>
      </w:r>
      <w:r>
        <w:rPr>
          <w:rFonts w:hint="default" w:ascii="Times New Roman" w:hAnsi="Times New Roman" w:eastAsia="仿宋_GB2312" w:cs="仿宋_GB2312"/>
          <w:spacing w:val="0"/>
          <w:kern w:val="2"/>
          <w:sz w:val="32"/>
          <w:szCs w:val="32"/>
          <w:lang w:val="en-US" w:eastAsia="zh-CN" w:bidi="ar-SA"/>
        </w:rPr>
        <w:t>继续按照县委、县政府的要求，深入学习习近平新时代中国特色社会主义思想，</w:t>
      </w:r>
      <w:r>
        <w:rPr>
          <w:rFonts w:hint="eastAsia" w:ascii="Times New Roman" w:hAnsi="Times New Roman" w:eastAsia="仿宋_GB2312" w:cs="仿宋_GB2312"/>
          <w:spacing w:val="0"/>
          <w:sz w:val="32"/>
          <w:szCs w:val="32"/>
          <w:lang w:val="en-US" w:eastAsia="zh-CN"/>
        </w:rPr>
        <w:t>持续深化法治政府建设。</w:t>
      </w:r>
      <w:r>
        <w:rPr>
          <w:rFonts w:hint="eastAsia" w:ascii="Times New Roman" w:hAnsi="Times New Roman" w:eastAsia="仿宋_GB2312" w:cs="仿宋_GB2312"/>
          <w:b/>
          <w:bCs/>
          <w:spacing w:val="0"/>
          <w:sz w:val="32"/>
          <w:szCs w:val="32"/>
          <w:lang w:val="en-US" w:eastAsia="zh-CN"/>
        </w:rPr>
        <w:t>一是持续强化组织领导，</w:t>
      </w:r>
      <w:r>
        <w:rPr>
          <w:rFonts w:hint="eastAsia" w:ascii="Times New Roman" w:hAnsi="Times New Roman" w:eastAsia="仿宋_GB2312" w:cs="仿宋_GB2312"/>
          <w:spacing w:val="0"/>
          <w:sz w:val="32"/>
          <w:szCs w:val="32"/>
          <w:lang w:val="en-US" w:eastAsia="zh-CN"/>
        </w:rPr>
        <w:t>优化法治建设工作机制，将法治建设与发展改革中心工作深度融合，细化2026年工作任务清单，确保各项举措落地见效；</w:t>
      </w:r>
      <w:r>
        <w:rPr>
          <w:rFonts w:hint="eastAsia" w:ascii="Times New Roman" w:hAnsi="Times New Roman" w:eastAsia="仿宋_GB2312" w:cs="仿宋_GB2312"/>
          <w:b/>
          <w:bCs/>
          <w:spacing w:val="0"/>
          <w:sz w:val="32"/>
          <w:szCs w:val="32"/>
          <w:lang w:val="en-US" w:eastAsia="zh-CN"/>
        </w:rPr>
        <w:t>二是深化行政执法能力建设</w:t>
      </w:r>
      <w:r>
        <w:rPr>
          <w:rFonts w:hint="eastAsia" w:ascii="Times New Roman" w:hAnsi="Times New Roman" w:eastAsia="仿宋_GB2312" w:cs="仿宋_GB2312"/>
          <w:spacing w:val="0"/>
          <w:sz w:val="32"/>
          <w:szCs w:val="32"/>
          <w:lang w:val="en-US" w:eastAsia="zh-CN"/>
        </w:rPr>
        <w:t>，开展针对性法规政策培训和执法实务演练，提升执法人员精准执法、规范执法水平，健全行政执法监督机制，常态化开展执法监督检查；</w:t>
      </w:r>
      <w:r>
        <w:rPr>
          <w:rFonts w:hint="eastAsia" w:ascii="Times New Roman" w:hAnsi="Times New Roman" w:eastAsia="仿宋_GB2312" w:cs="仿宋_GB2312"/>
          <w:b/>
          <w:bCs/>
          <w:spacing w:val="0"/>
          <w:sz w:val="32"/>
          <w:szCs w:val="32"/>
          <w:lang w:val="en-US" w:eastAsia="zh-CN"/>
        </w:rPr>
        <w:t>三是创新普法宣传模式</w:t>
      </w:r>
      <w:r>
        <w:rPr>
          <w:rFonts w:hint="eastAsia" w:ascii="Times New Roman" w:hAnsi="Times New Roman" w:eastAsia="仿宋_GB2312" w:cs="仿宋_GB2312"/>
          <w:spacing w:val="0"/>
          <w:sz w:val="32"/>
          <w:szCs w:val="32"/>
          <w:lang w:val="en-US" w:eastAsia="zh-CN"/>
        </w:rPr>
        <w:t>，搭建线上普法平台，运用新媒体形式，扩大普法覆盖面和影响力，聚焦企业和群众需求，开展精准化、个性化普法服务；</w:t>
      </w:r>
      <w:r>
        <w:rPr>
          <w:rFonts w:hint="eastAsia" w:ascii="Times New Roman" w:hAnsi="Times New Roman" w:eastAsia="仿宋_GB2312" w:cs="仿宋_GB2312"/>
          <w:b/>
          <w:bCs/>
          <w:spacing w:val="0"/>
          <w:sz w:val="32"/>
          <w:szCs w:val="32"/>
          <w:lang w:val="en-US" w:eastAsia="zh-CN"/>
        </w:rPr>
        <w:t>四是持续优化法治化营商环境</w:t>
      </w:r>
      <w:r>
        <w:rPr>
          <w:rFonts w:hint="eastAsia" w:ascii="Times New Roman" w:hAnsi="Times New Roman" w:eastAsia="仿宋_GB2312" w:cs="仿宋_GB2312"/>
          <w:spacing w:val="0"/>
          <w:sz w:val="32"/>
          <w:szCs w:val="32"/>
          <w:lang w:val="en-US" w:eastAsia="zh-CN"/>
        </w:rPr>
        <w:t>，进一步完善信用联合奖惩机制，深化“放管服”改革，规范行政行为，为全县经济社会高质量发展提供更坚实的法治保障。</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eastAsia="仿宋_GB2312" w:cs="仿宋_GB2312"/>
          <w:spacing w:val="0"/>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spacing w:val="0"/>
          <w:kern w:val="2"/>
          <w:sz w:val="32"/>
          <w:szCs w:val="32"/>
          <w:lang w:val="en-US" w:eastAsia="zh-CN" w:bidi="ar-SA"/>
        </w:rPr>
        <w:t>卢氏县发展改革委员会</w:t>
      </w:r>
    </w:p>
    <w:p>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spacing w:val="0"/>
          <w:kern w:val="2"/>
          <w:sz w:val="32"/>
          <w:szCs w:val="32"/>
          <w:lang w:val="en-US" w:eastAsia="zh-CN" w:bidi="ar-SA"/>
        </w:rPr>
        <w:t xml:space="preserve">2026年3月5日  </w:t>
      </w:r>
    </w:p>
    <w:p>
      <w:pPr>
        <w:keepNext w:val="0"/>
        <w:keepLines w:val="0"/>
        <w:pageBreakBefore w:val="0"/>
        <w:kinsoku/>
        <w:overflowPunct/>
        <w:topLinePunct w:val="0"/>
        <w:autoSpaceDE/>
        <w:autoSpaceDN/>
        <w:bidi w:val="0"/>
        <w:adjustRightInd/>
        <w:snapToGrid/>
        <w:spacing w:line="540" w:lineRule="exact"/>
        <w:textAlignment w:val="auto"/>
        <w:rPr>
          <w:spacing w:val="0"/>
        </w:rPr>
      </w:pPr>
    </w:p>
    <w:sectPr>
      <w:footerReference r:id="rId3" w:type="default"/>
      <w:pgSz w:w="11906" w:h="16838"/>
      <w:pgMar w:top="2211" w:right="1417" w:bottom="187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ACB45-D65A-4FDC-8654-03DF53B690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9A5E810E-2DFD-411C-9C2A-E1996FC27E74}"/>
  </w:font>
  <w:font w:name="仿宋_GB2312">
    <w:panose1 w:val="02010609030101010101"/>
    <w:charset w:val="86"/>
    <w:family w:val="auto"/>
    <w:pitch w:val="default"/>
    <w:sig w:usb0="00000001" w:usb1="080E0000" w:usb2="00000000" w:usb3="00000000" w:csb0="00040000" w:csb1="00000000"/>
    <w:embedRegular r:id="rId3" w:fontKey="{20BFD32B-8A42-42F4-9014-6E2394BC35DD}"/>
  </w:font>
  <w:font w:name="楷体_GB2312">
    <w:altName w:val="楷体"/>
    <w:panose1 w:val="02010609030101010101"/>
    <w:charset w:val="86"/>
    <w:family w:val="auto"/>
    <w:pitch w:val="default"/>
    <w:sig w:usb0="00000000" w:usb1="00000000" w:usb2="00000000" w:usb3="00000000" w:csb0="00040000" w:csb1="00000000"/>
    <w:embedRegular r:id="rId4" w:fontKey="{BA8783FB-FA8C-4935-8DAC-6DAB65305F8C}"/>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2673985</wp:posOffset>
              </wp:positionH>
              <wp:positionV relativeFrom="paragraph">
                <wp:posOffset>-13335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55pt;margin-top:-1.05pt;height:144pt;width:144pt;mso-position-horizontal-relative:margin;mso-wrap-style:none;z-index:251659264;mso-width-relative:page;mso-height-relative:page;" filled="f" stroked="f" coordsize="21600,21600" o:gfxdata="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9TJX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10ED5FFB"/>
    <w:rsid w:val="1BDE0896"/>
    <w:rsid w:val="1C9C3607"/>
    <w:rsid w:val="1DD97567"/>
    <w:rsid w:val="2DE678B4"/>
    <w:rsid w:val="2E36630F"/>
    <w:rsid w:val="4303280C"/>
    <w:rsid w:val="44A122DD"/>
    <w:rsid w:val="45A8769B"/>
    <w:rsid w:val="464B5A9D"/>
    <w:rsid w:val="516A7EFA"/>
    <w:rsid w:val="53921DD0"/>
    <w:rsid w:val="54C91FB4"/>
    <w:rsid w:val="565D002E"/>
    <w:rsid w:val="6AC96506"/>
    <w:rsid w:val="6EC00703"/>
    <w:rsid w:val="7BCE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3430</Words>
  <Characters>3492</Characters>
  <Lines>0</Lines>
  <Paragraphs>0</Paragraphs>
  <TotalTime>16</TotalTime>
  <ScaleCrop>false</ScaleCrop>
  <LinksUpToDate>false</LinksUpToDate>
  <CharactersWithSpaces>3495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2026-01-20T01:07:00Z</dcterms:created>
  <dc:creator>Administrator</dc:creator>
  <cp:lastModifiedBy>Sunshine</cp:lastModifiedBy>
  <dcterms:modified xsi:type="dcterms:W3CDTF">2026-03-17T02:08:00Z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DocerSaveRecord">
    <vt:lpwstr>eyJoZGlkIjoiOGE2N2U1ODI0NjRlNjI2ODdmNTVmYzlmYjUyMmE3ZjAiLCJ1c2VySWQiOiIzMTYwNTU4OTUifQ==</vt:lpwstr>
  </property>
  <property fmtid="{D5CDD505-2E9C-101B-9397-08002B2CF9AE}" pid="4" name="ICV">
    <vt:lpwstr>441261D3B28B461F8FC6C16F731C0A04_13</vt:lpwstr>
  </property>
</Properties>
</file>