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卢氏县农业农村局2025年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法治政府建设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情况报告</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2025年卢氏县农业农村局</w:t>
      </w:r>
      <w:r>
        <w:rPr>
          <w:rFonts w:hint="eastAsia" w:ascii="Times New Roman" w:hAnsi="Times New Roman" w:eastAsia="仿宋_GB2312" w:cs="仿宋_GB2312"/>
          <w:spacing w:val="11"/>
          <w:sz w:val="32"/>
          <w:szCs w:val="32"/>
          <w:lang w:val="en-US" w:eastAsia="zh-CN"/>
        </w:rPr>
        <w:t>在县委、县政府和上级业务部门的坚强领导下，</w:t>
      </w:r>
      <w:r>
        <w:rPr>
          <w:rFonts w:hint="eastAsia" w:ascii="仿宋_GB2312" w:hAnsi="仿宋_GB2312" w:eastAsia="仿宋_GB2312" w:cs="仿宋_GB2312"/>
          <w:sz w:val="32"/>
          <w:szCs w:val="32"/>
        </w:rPr>
        <w:t>深入贯彻落实法治政府建设相关部署要求，</w:t>
      </w:r>
      <w:r>
        <w:rPr>
          <w:rFonts w:hint="eastAsia" w:ascii="Times New Roman" w:hAnsi="Times New Roman" w:eastAsia="仿宋_GB2312" w:cs="仿宋_GB2312"/>
          <w:spacing w:val="11"/>
          <w:sz w:val="32"/>
          <w:szCs w:val="32"/>
          <w:lang w:val="en-US" w:eastAsia="zh-CN"/>
        </w:rPr>
        <w:t>锚定特色农业强县目标，</w:t>
      </w:r>
      <w:r>
        <w:rPr>
          <w:rFonts w:hint="eastAsia" w:ascii="仿宋_GB2312" w:hAnsi="仿宋_GB2312" w:eastAsia="仿宋_GB2312" w:cs="仿宋_GB2312"/>
          <w:sz w:val="32"/>
          <w:szCs w:val="32"/>
        </w:rPr>
        <w:t>立足农业农村工作主责主业，将法治思维和法治方式贯穿于巩固拓展脱贫攻坚成果、保障粮食安全、推进乡村振兴等各项工作全过程，以扎实的法治建设成效护航全县农业农村高质量发展。现将全年法治政府建设工作情况</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一、强化法治引领，夯实依法行政工作基础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一是健全工作机制。</w:t>
      </w:r>
      <w:r>
        <w:rPr>
          <w:rFonts w:hint="eastAsia" w:ascii="仿宋_GB2312" w:hAnsi="仿宋_GB2312" w:eastAsia="仿宋_GB2312" w:cs="仿宋_GB2312"/>
          <w:sz w:val="32"/>
          <w:szCs w:val="32"/>
        </w:rPr>
        <w:t>明确党组书记为第一责任人，将法治建设与业务工作同部署、同落实、同考核，结合农业农村工作实际制定年度法治建设工作计划，细化任务清单，压实责任分工，形成“主要领导亲自抓、分管领导具体抓、各股室协同抓”的工作格局。</w:t>
      </w:r>
      <w:r>
        <w:rPr>
          <w:rFonts w:hint="eastAsia" w:ascii="仿宋_GB2312" w:hAnsi="仿宋_GB2312" w:eastAsia="仿宋_GB2312" w:cs="仿宋_GB2312"/>
          <w:b/>
          <w:bCs/>
          <w:sz w:val="32"/>
          <w:szCs w:val="32"/>
        </w:rPr>
        <w:t>二是加强法治学习。</w:t>
      </w:r>
      <w:r>
        <w:rPr>
          <w:rFonts w:hint="eastAsia" w:ascii="仿宋_GB2312" w:hAnsi="仿宋_GB2312" w:eastAsia="仿宋_GB2312" w:cs="仿宋_GB2312"/>
          <w:sz w:val="32"/>
          <w:szCs w:val="32"/>
        </w:rPr>
        <w:t>组织干部职工深入学习</w:t>
      </w:r>
      <w:r>
        <w:rPr>
          <w:rFonts w:hint="eastAsia" w:ascii="仿宋_GB2312" w:hAnsi="仿宋_GB2312" w:eastAsia="仿宋_GB2312" w:cs="仿宋_GB2312"/>
          <w:sz w:val="32"/>
          <w:szCs w:val="32"/>
          <w:lang w:eastAsia="zh-CN"/>
        </w:rPr>
        <w:t>习近平法治思想重要论述和</w:t>
      </w:r>
      <w:r>
        <w:rPr>
          <w:rFonts w:hint="eastAsia" w:ascii="仿宋_GB2312" w:hAnsi="仿宋_GB2312" w:eastAsia="仿宋_GB2312" w:cs="仿宋_GB2312"/>
          <w:sz w:val="32"/>
          <w:szCs w:val="32"/>
        </w:rPr>
        <w:t>涉农法律法规，结合“八五”普法工作要求，开展专题学法活动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次，不断提升干部职工依法行政、依法办事的能力和水平。</w:t>
      </w:r>
      <w:r>
        <w:rPr>
          <w:rFonts w:hint="eastAsia" w:ascii="仿宋_GB2312" w:hAnsi="仿宋_GB2312" w:eastAsia="仿宋_GB2312" w:cs="仿宋_GB2312"/>
          <w:b/>
          <w:bCs/>
          <w:sz w:val="32"/>
          <w:szCs w:val="32"/>
        </w:rPr>
        <w:t>三是规范决策程序。</w:t>
      </w:r>
      <w:r>
        <w:rPr>
          <w:rFonts w:hint="eastAsia" w:ascii="仿宋_GB2312" w:hAnsi="仿宋_GB2312" w:eastAsia="仿宋_GB2312" w:cs="仿宋_GB2312"/>
          <w:sz w:val="32"/>
          <w:szCs w:val="32"/>
        </w:rPr>
        <w:t>严格执行重大行政决策合法性审查机制，对乡村振兴项目实施、帮扶资产管理、农业产业政策制定等重大事项，</w:t>
      </w:r>
      <w:r>
        <w:rPr>
          <w:rFonts w:hint="eastAsia" w:ascii="仿宋_GB2312" w:hAnsi="仿宋_GB2312" w:eastAsia="仿宋_GB2312" w:cs="仿宋_GB2312"/>
          <w:sz w:val="32"/>
          <w:szCs w:val="32"/>
          <w:lang w:eastAsia="zh-CN"/>
        </w:rPr>
        <w:t>实行集体决策</w:t>
      </w:r>
      <w:r>
        <w:rPr>
          <w:rFonts w:hint="eastAsia" w:ascii="仿宋_GB2312" w:hAnsi="仿宋_GB2312" w:eastAsia="仿宋_GB2312" w:cs="仿宋_GB2312"/>
          <w:sz w:val="32"/>
          <w:szCs w:val="32"/>
        </w:rPr>
        <w:t>，确保行政决策于法有据、程序合规。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二、严格执法监管，维护农业农村生产秩序</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一是规范农业行政执法行为。</w:t>
      </w:r>
      <w:r>
        <w:rPr>
          <w:rFonts w:hint="eastAsia" w:ascii="仿宋_GB2312" w:hAnsi="仿宋_GB2312" w:eastAsia="仿宋_GB2312" w:cs="仿宋_GB2312"/>
          <w:sz w:val="32"/>
          <w:szCs w:val="32"/>
        </w:rPr>
        <w:t>聚焦农资市场监管、农产品质量安全、农机安全生产等重点领域，常态化开展执法检查行动。2025年累计出动执法人员210人次，检查农资经营场所96个，办理行政执法案件20件，罚款金额14.43万元，没收违法所得0.58万元，共计15.01万元。执法过程中严格落实行政执法“三项制度”，做到执法全过程记录、重大执法决定法制审核、执法信息公开透明，切实维护农民群众合法权益。</w:t>
      </w:r>
      <w:r>
        <w:rPr>
          <w:rFonts w:hint="eastAsia" w:ascii="仿宋_GB2312" w:hAnsi="仿宋_GB2312" w:eastAsia="仿宋_GB2312" w:cs="仿宋_GB2312"/>
          <w:b/>
          <w:bCs/>
          <w:sz w:val="32"/>
          <w:szCs w:val="32"/>
        </w:rPr>
        <w:t>二是强化农产品质量安全监管。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以豇豆等重点农产品为核心，开展农药残留专项整治行动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出动监管人员400余人次，对辖区内农产品生产企业、农民专业合作社进行全覆盖检查，督促生产主体落实质量安全主体责任，从源头筑牢农产品质量安全防线。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）对监管范围内的</w:t>
      </w:r>
      <w:r>
        <w:rPr>
          <w:rFonts w:hint="eastAsia" w:ascii="仿宋_GB2312" w:hAnsi="仿宋_GB2312" w:eastAsia="仿宋_GB2312" w:cs="仿宋_GB2312"/>
          <w:sz w:val="32"/>
          <w:szCs w:val="32"/>
          <w:lang w:val="en-US" w:eastAsia="zh-CN"/>
        </w:rPr>
        <w:t>3家直供学校种植养殖主体进行定期不定期农产品质量安全监管及每月一次鸡蛋抽检；（3）做好直供学校农产品质量安全监管工作资料的整理归档。</w:t>
      </w:r>
      <w:r>
        <w:rPr>
          <w:rFonts w:hint="eastAsia" w:ascii="仿宋_GB2312" w:hAnsi="仿宋_GB2312" w:eastAsia="仿宋_GB2312" w:cs="仿宋_GB2312"/>
          <w:b/>
          <w:bCs/>
          <w:sz w:val="32"/>
          <w:szCs w:val="32"/>
        </w:rPr>
        <w:t>三是筑牢农机安全生产法治防线。</w:t>
      </w:r>
      <w:r>
        <w:rPr>
          <w:rFonts w:hint="eastAsia" w:ascii="仿宋_GB2312" w:hAnsi="仿宋_GB2312" w:eastAsia="仿宋_GB2312" w:cs="仿宋_GB2312"/>
          <w:sz w:val="32"/>
          <w:szCs w:val="32"/>
        </w:rPr>
        <w:t>常态化开展农机年检、安全隐患排查整治和机手法治培训，严格落实农机购置补贴政策，2025年使用农机购置补贴资金76.821万元，补贴机具607台，受益农户576户。通过法治宣传与执法监管相结合，有效遏制农机安全事故发生，保障农业生产安全有序进行。</w:t>
      </w:r>
      <w:r>
        <w:rPr>
          <w:rFonts w:hint="eastAsia" w:ascii="仿宋_GB2312" w:hAnsi="仿宋_GB2312" w:eastAsia="仿宋_GB2312" w:cs="仿宋_GB2312"/>
          <w:b/>
          <w:bCs/>
          <w:sz w:val="32"/>
          <w:szCs w:val="32"/>
          <w:lang w:val="en-US" w:eastAsia="zh-CN"/>
        </w:rPr>
        <w:t>四是开展肉类产品专项整治行动。</w:t>
      </w:r>
      <w:r>
        <w:rPr>
          <w:rFonts w:hint="eastAsia" w:ascii="仿宋_GB2312" w:hAnsi="仿宋_GB2312" w:eastAsia="仿宋_GB2312" w:cs="仿宋_GB2312"/>
          <w:sz w:val="32"/>
          <w:szCs w:val="32"/>
          <w:lang w:val="en-US" w:eastAsia="zh-CN"/>
        </w:rPr>
        <w:t>按照省、市关于严厉打击肉类产品违法犯罪专项整治行动有关要求，结合群众身边不正之风和腐败问题集中整治工作安排，深入养殖场（户）、牛集市场、农贸市场等重点领域进行专项执法检查。检查养殖场（户）18个，牛集市场4次，肉品经营门市36个、发放《生猪管理条例》宣传页150份，下达告知书12份。五是渔业执法。</w:t>
      </w:r>
      <w:r>
        <w:rPr>
          <w:rFonts w:hint="eastAsia" w:ascii="仿宋_GB2312" w:hAnsi="仿宋_GB2312" w:eastAsia="仿宋_GB2312" w:cs="仿宋_GB2312"/>
          <w:sz w:val="32"/>
          <w:szCs w:val="32"/>
          <w:lang w:eastAsia="zh-CN"/>
        </w:rPr>
        <w:t>全年累计开展渔政宣传</w:t>
      </w:r>
      <w:r>
        <w:rPr>
          <w:rFonts w:hint="eastAsia" w:ascii="仿宋_GB2312" w:hAnsi="仿宋_GB2312" w:eastAsia="仿宋_GB2312" w:cs="仿宋_GB2312"/>
          <w:sz w:val="32"/>
          <w:szCs w:val="32"/>
          <w:lang w:val="en-US" w:eastAsia="zh-CN"/>
        </w:rPr>
        <w:t>32次，处置涉渔热线工单18起，处理举报电话8起，配合公安部门处理涉渔案件4起</w:t>
      </w:r>
      <w:r>
        <w:rPr>
          <w:rFonts w:hint="eastAsia" w:ascii="仿宋_GB2312" w:hAnsi="仿宋_GB2312" w:eastAsia="仿宋_GB2312" w:cs="仿宋_GB2312"/>
          <w:sz w:val="32"/>
          <w:szCs w:val="32"/>
          <w:lang w:eastAsia="zh-CN"/>
        </w:rPr>
        <w:t>。通过张贴公告、宣传车流动宣传、河道巡查等措施，群众对禁渔工作的知晓率和支持度大大提升，营造了良好的爱护水环境和水生物氛围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三、深化法治服务，助力乡村振兴提质增效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一是推进农村“三资”监管法治化。</w:t>
      </w:r>
      <w:r>
        <w:rPr>
          <w:rFonts w:hint="eastAsia" w:ascii="仿宋_GB2312" w:hAnsi="仿宋_GB2312" w:eastAsia="仿宋_GB2312" w:cs="仿宋_GB2312"/>
          <w:sz w:val="32"/>
          <w:szCs w:val="32"/>
        </w:rPr>
        <w:t>创新“1155”工作法，搭建农村“三资”监管平台，推动“三资”管理从“线下纸质”向“线上智能”转型，实现资金、资产、资源管理的规范化、透明化。平台累计上传会计记账凭证21875份，录入固定资产数据及照片25242条，收录规范性集体经济合同2659份，网报支付累计1122笔，支付资金1777余万元。相关经验做法被全市推广，市纪委监委等六部门联合出台指导意见，省农业农村厅及兄弟地市多次到我县观摩学习。</w:t>
      </w:r>
      <w:r>
        <w:rPr>
          <w:rFonts w:hint="eastAsia" w:ascii="仿宋_GB2312" w:hAnsi="仿宋_GB2312" w:eastAsia="仿宋_GB2312" w:cs="仿宋_GB2312"/>
          <w:b/>
          <w:bCs/>
          <w:sz w:val="32"/>
          <w:szCs w:val="32"/>
        </w:rPr>
        <w:t>二是规范农村集体经济改革。</w:t>
      </w:r>
      <w:r>
        <w:rPr>
          <w:rFonts w:hint="eastAsia" w:ascii="仿宋_GB2312" w:hAnsi="仿宋_GB2312" w:eastAsia="仿宋_GB2312" w:cs="仿宋_GB2312"/>
          <w:sz w:val="32"/>
          <w:szCs w:val="32"/>
        </w:rPr>
        <w:t>依据《卢氏县村民委员会和农村集体经济组织资金分户管理工作方案》等文件，全面完成农村集体经济组织“政经分离”工作，剥离财政资金2.77亿元，赋予集体经济组织经营自主权；同时，依法依规盘活闲置资产资源71处，新增集体收益305万元，登记完善扶贫资产2011项11.06亿元，以法治手段保障集体资产安全高效运营。</w:t>
      </w:r>
      <w:r>
        <w:rPr>
          <w:rFonts w:hint="eastAsia" w:ascii="仿宋_GB2312" w:hAnsi="仿宋_GB2312" w:eastAsia="仿宋_GB2312" w:cs="仿宋_GB2312"/>
          <w:b/>
          <w:bCs/>
          <w:sz w:val="32"/>
          <w:szCs w:val="32"/>
        </w:rPr>
        <w:t>三是优化帮扶项目法治管理。</w:t>
      </w:r>
      <w:r>
        <w:rPr>
          <w:rFonts w:hint="eastAsia" w:ascii="仿宋_GB2312" w:hAnsi="仿宋_GB2312" w:eastAsia="仿宋_GB2312" w:cs="仿宋_GB2312"/>
          <w:sz w:val="32"/>
          <w:szCs w:val="32"/>
        </w:rPr>
        <w:t xml:space="preserve">严格按照衔接资金管理相关法律法规，规范巩固拓展脱贫攻坚成果衔接乡村振兴项目库建设，2025年项目库纳入87个项目，总投资138424.84万元。已批复项目53个，涉及资金44775万元，开工率94%，竣工率73.6%，确保项目实施合法合规、资金使用安全高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四、加强普法宣传，营造尊法学法守法用法氛围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一是精准开展普法活动。</w:t>
      </w:r>
      <w:r>
        <w:rPr>
          <w:rFonts w:hint="eastAsia" w:ascii="仿宋_GB2312" w:hAnsi="仿宋_GB2312" w:eastAsia="仿宋_GB2312" w:cs="仿宋_GB2312"/>
          <w:sz w:val="32"/>
          <w:szCs w:val="32"/>
        </w:rPr>
        <w:t>结合“放心农资下乡进村”“农产品质量安全宣传周”等活动，深入乡村、田间地头、农资门店，通过发放宣传手册、现场讲解、以案释法等方式，向农民群众普及农资选购、农产品安全生产、农机操作等方面的法律知识，全年开展普法宣传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次，发放宣传资料</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余份。</w:t>
      </w:r>
      <w:r>
        <w:rPr>
          <w:rFonts w:hint="eastAsia" w:ascii="仿宋_GB2312" w:hAnsi="仿宋_GB2312" w:eastAsia="仿宋_GB2312" w:cs="仿宋_GB2312"/>
          <w:b/>
          <w:bCs/>
          <w:sz w:val="32"/>
          <w:szCs w:val="32"/>
        </w:rPr>
        <w:t>二是强化基层干部普法。</w:t>
      </w:r>
      <w:r>
        <w:rPr>
          <w:rFonts w:hint="eastAsia" w:ascii="仿宋_GB2312" w:hAnsi="仿宋_GB2312" w:eastAsia="仿宋_GB2312" w:cs="仿宋_GB2312"/>
          <w:sz w:val="32"/>
          <w:szCs w:val="32"/>
        </w:rPr>
        <w:t>组织乡镇农业农村工作人员、村干部开展法治培训，重点讲解农村土地流转、集体“三资”管理、乡村振兴项目实施等领域的法律要点，提升基层干部运用法治手段解决实际问题的能力。</w:t>
      </w:r>
      <w:r>
        <w:rPr>
          <w:rFonts w:hint="eastAsia" w:ascii="仿宋_GB2312" w:hAnsi="仿宋_GB2312" w:eastAsia="仿宋_GB2312" w:cs="仿宋_GB2312"/>
          <w:b/>
          <w:bCs/>
          <w:sz w:val="32"/>
          <w:szCs w:val="32"/>
        </w:rPr>
        <w:t>三是创新普法宣传载体。</w:t>
      </w:r>
      <w:r>
        <w:rPr>
          <w:rFonts w:hint="eastAsia" w:ascii="仿宋_GB2312" w:hAnsi="仿宋_GB2312" w:eastAsia="仿宋_GB2312" w:cs="仿宋_GB2312"/>
          <w:sz w:val="32"/>
          <w:szCs w:val="32"/>
        </w:rPr>
        <w:t>充分利用微信公众号、抖音等新媒体平台，发布涉农法律法规解读、典型执法案例等内容，扩大普法覆盖面和影响力，营造全社会关心支持农业农村法治建设的良好氛围。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法治宣传的针对性和实效性有待进一步提升，部分群众法治意识仍需加强；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执法队伍专业化水平有待提高，面对复杂涉农执法案件的处置能力需进一步增强；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法治建设与业务工作的融合深度不够，在产业发展、乡村建设等领域运用法治思维解决问题的能力仍需深化。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持续强化法治学习培训，完善常态化学法机制，加强执法人员专业能力培养，提升依法行政水平。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加大执法监管力度，聚焦群众关心的热点难点问题，开展专项执法行动，严厉打击涉农违法行为。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深化普法宣传教育，创新普法方式方法，推动法治宣传向基层延伸、向群众贴近，筑牢农业农村法治建设根基。</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健全法治建设长效机制，推动法治建设与乡村振兴、产业发展等工作深度融合，以高质量法治政府建设助力</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农业农村现代化建设。</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卢氏县农业农村局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04DCEA-602A-4A25-BB53-DFAE42DA3F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5EC1CDA7-E6C2-4C8A-A04C-C0C1B40D4258}"/>
  </w:font>
  <w:font w:name="仿宋_GB2312">
    <w:panose1 w:val="02010609030101010101"/>
    <w:charset w:val="86"/>
    <w:family w:val="auto"/>
    <w:pitch w:val="default"/>
    <w:sig w:usb0="00000001" w:usb1="080E0000" w:usb2="00000000" w:usb3="00000000" w:csb0="00040000" w:csb1="00000000"/>
    <w:embedRegular r:id="rId3" w:fontKey="{EFD97D15-88E1-4ED2-9E3A-A851ECE5BA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498448CF"/>
    <w:rsid w:val="097035F9"/>
    <w:rsid w:val="0A397E8E"/>
    <w:rsid w:val="0B226B74"/>
    <w:rsid w:val="0DA10224"/>
    <w:rsid w:val="0E625C06"/>
    <w:rsid w:val="11044F40"/>
    <w:rsid w:val="11F272A1"/>
    <w:rsid w:val="1B4072CF"/>
    <w:rsid w:val="1CA648FE"/>
    <w:rsid w:val="23E46C65"/>
    <w:rsid w:val="29791BFE"/>
    <w:rsid w:val="358224ED"/>
    <w:rsid w:val="36317AE8"/>
    <w:rsid w:val="498448CF"/>
    <w:rsid w:val="53D216D2"/>
    <w:rsid w:val="5454111A"/>
    <w:rsid w:val="54622E8D"/>
    <w:rsid w:val="57C261E5"/>
    <w:rsid w:val="5C6A5252"/>
    <w:rsid w:val="64041AE8"/>
    <w:rsid w:val="6AE61F48"/>
    <w:rsid w:val="6C1B20C5"/>
    <w:rsid w:val="78E55F35"/>
    <w:rsid w:val="7BCD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2434</Words>
  <Characters>2542</Characters>
  <Lines>0</Lines>
  <Paragraphs>0</Paragraphs>
  <TotalTime>33</TotalTime>
  <ScaleCrop>false</ScaleCrop>
  <LinksUpToDate>false</LinksUpToDate>
  <CharactersWithSpaces>2546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2026-01-21T02:34:00Z</dcterms:created>
  <dc:creator>阿杜</dc:creator>
  <cp:lastModifiedBy>Sunshine</cp:lastModifiedBy>
  <cp:lastPrinted>2026-01-21T06:52:00Z</cp:lastPrinted>
  <dcterms:modified xsi:type="dcterms:W3CDTF">2026-03-23T08:50:30Z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7BBA8919783B4E348EC1918C7D697116_11</vt:lpwstr>
  </property>
  <property fmtid="{D5CDD505-2E9C-101B-9397-08002B2CF9AE}" pid="4" name="KSOTemplateDocerSaveRecord">
    <vt:lpwstr>eyJoZGlkIjoiMmI0OWVhOWM1MjgwNWFhZTRhNDMyOWE3ODQxNmZkZWIiLCJ1c2VySWQiOiI0MzA3OTI2NjIifQ==</vt:lpwstr>
  </property>
</Properties>
</file>