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卢氏县卫生健康委员会</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val="en-US" w:eastAsia="zh-CN"/>
        </w:rPr>
        <w:t>2025年度法治政</w:t>
      </w:r>
      <w:r>
        <w:rPr>
          <w:rFonts w:hint="eastAsia" w:ascii="方正大标宋简体" w:hAnsi="方正大标宋简体" w:eastAsia="方正大标宋简体" w:cs="方正大标宋简体"/>
          <w:sz w:val="44"/>
          <w:szCs w:val="44"/>
        </w:rPr>
        <w:t>府建设</w:t>
      </w:r>
      <w:r>
        <w:rPr>
          <w:rFonts w:hint="eastAsia" w:ascii="方正大标宋简体" w:hAnsi="方正大标宋简体" w:eastAsia="方正大标宋简体" w:cs="方正大标宋简体"/>
          <w:sz w:val="44"/>
          <w:szCs w:val="44"/>
          <w:lang w:eastAsia="zh-CN"/>
        </w:rPr>
        <w:t>情况</w:t>
      </w:r>
      <w:bookmarkStart w:id="0" w:name="_GoBack"/>
      <w:bookmarkEnd w:id="0"/>
      <w:r>
        <w:rPr>
          <w:rFonts w:hint="eastAsia" w:ascii="方正大标宋简体" w:hAnsi="方正大标宋简体" w:eastAsia="方正大标宋简体" w:cs="方正大标宋简体"/>
          <w:sz w:val="44"/>
          <w:szCs w:val="44"/>
        </w:rPr>
        <w:t>报告</w:t>
      </w:r>
    </w:p>
    <w:p>
      <w:pPr>
        <w:jc w:val="center"/>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570" w:lineRule="exact"/>
        <w:ind w:left="0" w:firstLine="684"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color w:val="000000" w:themeColor="text1"/>
          <w:spacing w:val="11"/>
          <w:sz w:val="32"/>
          <w:szCs w:val="32"/>
          <w14:textFill>
            <w14:solidFill>
              <w14:schemeClr w14:val="tx1"/>
            </w14:solidFill>
          </w14:textFill>
        </w:rPr>
        <w:t xml:space="preserve">2025年，在县委、县政府的正确领导和县委全面依法治县委员会的有力指导下，我委坚持以习近平法治思想为根本遵循，深入贯彻落实《法治政府建设实施纲要(2021-2025年)》及省、市、县法治建设工作部署，将法治政府建设与卫生健康中心工作同谋划、同部署、同推进、同考核，为全县卫生健康事业高质量发展提供了坚实法治保障。现将年度工作情况报告如下： </w:t>
      </w:r>
    </w:p>
    <w:p>
      <w:pPr>
        <w:keepNext w:val="0"/>
        <w:keepLines w:val="0"/>
        <w:pageBreakBefore w:val="0"/>
        <w:widowControl w:val="0"/>
        <w:kinsoku/>
        <w:wordWrap/>
        <w:overflowPunct/>
        <w:topLinePunct w:val="0"/>
        <w:autoSpaceDE/>
        <w:autoSpaceDN/>
        <w:bidi w:val="0"/>
        <w:adjustRightInd/>
        <w:snapToGrid/>
        <w:spacing w:line="570" w:lineRule="exact"/>
        <w:ind w:left="0" w:firstLine="684" w:firstLineChars="200"/>
        <w:jc w:val="both"/>
        <w:textAlignment w:val="auto"/>
        <w:rPr>
          <w:rFonts w:hint="eastAsia" w:ascii="黑体" w:hAnsi="黑体" w:eastAsia="黑体" w:cs="黑体"/>
          <w:color w:val="000000" w:themeColor="text1"/>
          <w:spacing w:val="11"/>
          <w:sz w:val="32"/>
          <w:szCs w:val="32"/>
          <w14:textFill>
            <w14:solidFill>
              <w14:schemeClr w14:val="tx1"/>
            </w14:solidFill>
          </w14:textFill>
        </w:rPr>
      </w:pPr>
      <w:r>
        <w:rPr>
          <w:rFonts w:hint="eastAsia" w:ascii="黑体" w:hAnsi="黑体" w:eastAsia="黑体" w:cs="黑体"/>
          <w:color w:val="000000" w:themeColor="text1"/>
          <w:spacing w:val="11"/>
          <w:sz w:val="32"/>
          <w:szCs w:val="32"/>
          <w14:textFill>
            <w14:solidFill>
              <w14:schemeClr w14:val="tx1"/>
            </w14:solidFill>
          </w14:textFill>
        </w:rPr>
        <w:t>一、2025年度法治政府建设主要举措及成</w:t>
      </w:r>
      <w:r>
        <w:rPr>
          <w:rFonts w:hint="eastAsia" w:ascii="黑体" w:hAnsi="黑体" w:eastAsia="黑体" w:cs="黑体"/>
          <w:color w:val="000000" w:themeColor="text1"/>
          <w:spacing w:val="11"/>
          <w:sz w:val="32"/>
          <w:szCs w:val="32"/>
          <w:lang w:eastAsia="zh-CN"/>
          <w14:textFill>
            <w14:solidFill>
              <w14:schemeClr w14:val="tx1"/>
            </w14:solidFill>
          </w14:textFill>
        </w:rPr>
        <w:t>效</w:t>
      </w:r>
      <w:r>
        <w:rPr>
          <w:rFonts w:hint="eastAsia" w:ascii="黑体" w:hAnsi="黑体" w:eastAsia="黑体" w:cs="黑体"/>
          <w:color w:val="000000" w:themeColor="text1"/>
          <w:spacing w:val="1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firstLine="687" w:firstLineChars="200"/>
        <w:jc w:val="both"/>
        <w:textAlignment w:val="auto"/>
        <w:rPr>
          <w:rFonts w:hint="eastAsia" w:ascii="楷体_GB2312" w:hAnsi="楷体_GB2312" w:eastAsia="楷体_GB2312" w:cs="楷体_GB2312"/>
          <w:b/>
          <w:bCs/>
          <w:color w:val="000000" w:themeColor="text1"/>
          <w:spacing w:val="11"/>
          <w:sz w:val="32"/>
          <w:szCs w:val="32"/>
          <w14:textFill>
            <w14:solidFill>
              <w14:schemeClr w14:val="tx1"/>
            </w14:solidFill>
          </w14:textFill>
        </w:rPr>
      </w:pPr>
      <w:r>
        <w:rPr>
          <w:rFonts w:hint="eastAsia" w:ascii="楷体_GB2312" w:hAnsi="楷体_GB2312" w:eastAsia="楷体_GB2312" w:cs="楷体_GB2312"/>
          <w:b/>
          <w:bCs/>
          <w:color w:val="000000" w:themeColor="text1"/>
          <w:spacing w:val="11"/>
          <w:sz w:val="32"/>
          <w:szCs w:val="32"/>
          <w14:textFill>
            <w14:solidFill>
              <w14:schemeClr w14:val="tx1"/>
            </w14:solidFill>
          </w14:textFill>
        </w:rPr>
        <w:t xml:space="preserve">（一）强化政治引领，压实法治建设责任 </w:t>
      </w:r>
    </w:p>
    <w:p>
      <w:pPr>
        <w:keepNext w:val="0"/>
        <w:keepLines w:val="0"/>
        <w:pageBreakBefore w:val="0"/>
        <w:widowControl w:val="0"/>
        <w:kinsoku/>
        <w:wordWrap/>
        <w:overflowPunct/>
        <w:topLinePunct w:val="0"/>
        <w:autoSpaceDE/>
        <w:autoSpaceDN/>
        <w:bidi w:val="0"/>
        <w:adjustRightInd/>
        <w:snapToGrid/>
        <w:spacing w:line="570" w:lineRule="exact"/>
        <w:ind w:left="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eastAsia" w:ascii="仿宋_GB2312" w:hAnsi="仿宋_GB2312" w:eastAsia="仿宋_GB2312" w:cs="仿宋_GB2312"/>
          <w:b/>
          <w:bCs/>
          <w:color w:val="000000" w:themeColor="text1"/>
          <w:spacing w:val="1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pacing w:val="11"/>
          <w:sz w:val="32"/>
          <w:szCs w:val="32"/>
          <w14:textFill>
            <w14:solidFill>
              <w14:schemeClr w14:val="tx1"/>
            </w14:solidFill>
          </w14:textFill>
        </w:rPr>
        <w:t>健全领导机制。</w:t>
      </w:r>
      <w:r>
        <w:rPr>
          <w:rFonts w:hint="default" w:ascii="Times New Roman" w:hAnsi="Times New Roman" w:eastAsia="仿宋_GB2312" w:cs="Times New Roman"/>
          <w:color w:val="000000" w:themeColor="text1"/>
          <w:spacing w:val="11"/>
          <w:sz w:val="32"/>
          <w:szCs w:val="32"/>
          <w14:textFill>
            <w14:solidFill>
              <w14:schemeClr w14:val="tx1"/>
            </w14:solidFill>
          </w14:textFill>
        </w:rPr>
        <w:t>成立由党组书记、主任任组长的法治建设工作领导小组，明确领导小组办公室职责，建立“主要领导负总责、分管领导具体抓、各股室协同推进、下属单位全员参与”的工作格局。将法治建设纳入委党组年度工作要点、卫生健康事业发展规划和年度绩效考核体系，与业务工作同研究、同部署、同考核，全年召开党组专题研究法治建设会议</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1"/>
          <w:sz w:val="32"/>
          <w:szCs w:val="32"/>
          <w14:textFill>
            <w14:solidFill>
              <w14:schemeClr w14:val="tx1"/>
            </w14:solidFill>
          </w14:textFill>
        </w:rPr>
        <w:t>次，及时解决法治建设推进中的重点难点问题。</w:t>
      </w:r>
    </w:p>
    <w:p>
      <w:pPr>
        <w:keepNext w:val="0"/>
        <w:keepLines w:val="0"/>
        <w:pageBreakBefore w:val="0"/>
        <w:widowControl w:val="0"/>
        <w:kinsoku/>
        <w:wordWrap/>
        <w:overflowPunct/>
        <w:topLinePunct w:val="0"/>
        <w:autoSpaceDE/>
        <w:autoSpaceDN/>
        <w:bidi w:val="0"/>
        <w:adjustRightInd/>
        <w:snapToGrid/>
        <w:spacing w:line="570" w:lineRule="exact"/>
        <w:ind w:left="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2.落实第一责任人职责。</w:t>
      </w:r>
      <w:r>
        <w:rPr>
          <w:rFonts w:hint="default" w:ascii="Times New Roman" w:hAnsi="Times New Roman" w:eastAsia="仿宋_GB2312" w:cs="Times New Roman"/>
          <w:color w:val="000000" w:themeColor="text1"/>
          <w:spacing w:val="11"/>
          <w:sz w:val="32"/>
          <w:szCs w:val="32"/>
          <w14:textFill>
            <w14:solidFill>
              <w14:schemeClr w14:val="tx1"/>
            </w14:solidFill>
          </w14:textFill>
        </w:rPr>
        <w:t>党政主要负责人严格履行推进法治建设第一责任人职责，带头</w:t>
      </w:r>
      <w:r>
        <w:rPr>
          <w:rFonts w:hint="eastAsia" w:ascii="Times New Roman" w:hAnsi="Times New Roman" w:eastAsia="仿宋_GB2312" w:cs="Times New Roman"/>
          <w:color w:val="000000" w:themeColor="text1"/>
          <w:spacing w:val="11"/>
          <w:sz w:val="32"/>
          <w:szCs w:val="32"/>
          <w:lang w:eastAsia="zh-CN"/>
          <w14:textFill>
            <w14:solidFill>
              <w14:schemeClr w14:val="tx1"/>
            </w14:solidFill>
          </w14:textFill>
        </w:rPr>
        <w:t>遵</w:t>
      </w:r>
      <w:r>
        <w:rPr>
          <w:rFonts w:hint="default" w:ascii="Times New Roman" w:hAnsi="Times New Roman" w:eastAsia="仿宋_GB2312" w:cs="Times New Roman"/>
          <w:color w:val="000000" w:themeColor="text1"/>
          <w:spacing w:val="11"/>
          <w:sz w:val="32"/>
          <w:szCs w:val="32"/>
          <w14:textFill>
            <w14:solidFill>
              <w14:schemeClr w14:val="tx1"/>
            </w14:solidFill>
          </w14:textFill>
        </w:rPr>
        <w:t>法学法守法用法，对重大行政决策、重要执法事项、复杂矛盾纠纷亲自过问、亲自协调、亲自督办。</w:t>
      </w:r>
    </w:p>
    <w:p>
      <w:pPr>
        <w:keepNext w:val="0"/>
        <w:keepLines w:val="0"/>
        <w:pageBreakBefore w:val="0"/>
        <w:widowControl w:val="0"/>
        <w:kinsoku/>
        <w:wordWrap/>
        <w:overflowPunct/>
        <w:topLinePunct w:val="0"/>
        <w:autoSpaceDE/>
        <w:autoSpaceDN/>
        <w:bidi w:val="0"/>
        <w:adjustRightInd/>
        <w:snapToGrid/>
        <w:spacing w:line="570" w:lineRule="exact"/>
        <w:ind w:left="0" w:firstLine="687" w:firstLineChars="200"/>
        <w:jc w:val="both"/>
        <w:textAlignment w:val="auto"/>
        <w:rPr>
          <w:rFonts w:hint="eastAsia" w:ascii="楷体_GB2312" w:hAnsi="楷体_GB2312" w:eastAsia="楷体_GB2312" w:cs="楷体_GB2312"/>
          <w:b/>
          <w:bCs/>
          <w:color w:val="000000" w:themeColor="text1"/>
          <w:spacing w:val="11"/>
          <w:sz w:val="32"/>
          <w:szCs w:val="32"/>
          <w14:textFill>
            <w14:solidFill>
              <w14:schemeClr w14:val="tx1"/>
            </w14:solidFill>
          </w14:textFill>
        </w:rPr>
      </w:pPr>
      <w:r>
        <w:rPr>
          <w:rFonts w:hint="eastAsia" w:ascii="楷体_GB2312" w:hAnsi="楷体_GB2312" w:eastAsia="楷体_GB2312" w:cs="楷体_GB2312"/>
          <w:b/>
          <w:bCs/>
          <w:color w:val="000000" w:themeColor="text1"/>
          <w:spacing w:val="11"/>
          <w:sz w:val="32"/>
          <w:szCs w:val="32"/>
          <w14:textFill>
            <w14:solidFill>
              <w14:schemeClr w14:val="tx1"/>
            </w14:solidFill>
          </w14:textFill>
        </w:rPr>
        <w:t xml:space="preserve">（二）深化“放管服”改革，优化法治化营商环境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87" w:firstLineChars="200"/>
        <w:jc w:val="both"/>
        <w:textAlignment w:val="auto"/>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规范行政许可管理。</w:t>
      </w:r>
      <w:r>
        <w:rPr>
          <w:rFonts w:hint="default" w:ascii="Times New Roman" w:hAnsi="Times New Roman" w:eastAsia="仿宋_GB2312" w:cs="Times New Roman"/>
          <w:color w:val="000000" w:themeColor="text1"/>
          <w:spacing w:val="11"/>
          <w:sz w:val="32"/>
          <w:szCs w:val="32"/>
          <w14:textFill>
            <w14:solidFill>
              <w14:schemeClr w14:val="tx1"/>
            </w14:solidFill>
          </w14:textFill>
        </w:rPr>
        <w:t>严格落实行政许可事项清单管理制度，动态调整权责清单，将</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124</w:t>
      </w:r>
      <w:r>
        <w:rPr>
          <w:rFonts w:hint="default" w:ascii="Times New Roman" w:hAnsi="Times New Roman" w:eastAsia="仿宋_GB2312" w:cs="Times New Roman"/>
          <w:color w:val="000000" w:themeColor="text1"/>
          <w:spacing w:val="11"/>
          <w:sz w:val="32"/>
          <w:szCs w:val="32"/>
          <w14:textFill>
            <w14:solidFill>
              <w14:schemeClr w14:val="tx1"/>
            </w14:solidFill>
          </w14:textFill>
        </w:rPr>
        <w:t>项政务服务事项按照</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依法依规、能优则优、应减尽减</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原则，精减申请材料、压缩办理时限，推进数字赋能转型，依托一体化政务服务平台，实现70%以上政务服务事项</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即办件</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2.健全信用监管体系。</w:t>
      </w:r>
      <w:r>
        <w:rPr>
          <w:rFonts w:hint="default" w:ascii="Times New Roman" w:hAnsi="Times New Roman" w:eastAsia="仿宋_GB2312" w:cs="Times New Roman"/>
          <w:color w:val="000000" w:themeColor="text1"/>
          <w:spacing w:val="11"/>
          <w:sz w:val="32"/>
          <w:szCs w:val="32"/>
          <w14:textFill>
            <w14:solidFill>
              <w14:schemeClr w14:val="tx1"/>
            </w14:solidFill>
          </w14:textFill>
        </w:rPr>
        <w:t>严格执行行政许可和行政处罚信息“双公示”制度，全年公示行政许可信息</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94</w:t>
      </w:r>
      <w:r>
        <w:rPr>
          <w:rFonts w:hint="default" w:ascii="Times New Roman" w:hAnsi="Times New Roman" w:eastAsia="仿宋_GB2312" w:cs="Times New Roman"/>
          <w:color w:val="000000" w:themeColor="text1"/>
          <w:spacing w:val="11"/>
          <w:sz w:val="32"/>
          <w:szCs w:val="32"/>
          <w14:textFill>
            <w14:solidFill>
              <w14:schemeClr w14:val="tx1"/>
            </w14:solidFill>
          </w14:textFill>
        </w:rPr>
        <w:t>条、行政处罚信息</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11"/>
          <w:sz w:val="32"/>
          <w:szCs w:val="32"/>
          <w14:textFill>
            <w14:solidFill>
              <w14:schemeClr w14:val="tx1"/>
            </w14:solidFill>
          </w14:textFill>
        </w:rPr>
        <w:t>条，公示率、准确率均达100%。</w:t>
      </w:r>
    </w:p>
    <w:p>
      <w:pPr>
        <w:keepNext w:val="0"/>
        <w:keepLines w:val="0"/>
        <w:pageBreakBefore w:val="0"/>
        <w:widowControl w:val="0"/>
        <w:kinsoku/>
        <w:wordWrap/>
        <w:overflowPunct/>
        <w:topLinePunct w:val="0"/>
        <w:autoSpaceDE/>
        <w:autoSpaceDN/>
        <w:bidi w:val="0"/>
        <w:adjustRightInd/>
        <w:snapToGrid/>
        <w:spacing w:line="570" w:lineRule="exact"/>
        <w:ind w:left="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3.优化涉企服务。</w:t>
      </w:r>
      <w:r>
        <w:rPr>
          <w:rFonts w:hint="default" w:ascii="Times New Roman" w:hAnsi="Times New Roman" w:eastAsia="仿宋_GB2312" w:cs="Times New Roman"/>
          <w:color w:val="000000" w:themeColor="text1"/>
          <w:spacing w:val="11"/>
          <w:sz w:val="32"/>
          <w:szCs w:val="32"/>
          <w14:textFill>
            <w14:solidFill>
              <w14:schemeClr w14:val="tx1"/>
            </w14:solidFill>
          </w14:textFill>
        </w:rPr>
        <w:t xml:space="preserve">深入推进“证照分离”改革全覆盖，对涉企经营许可事项实行告知承诺制，简化社会办医审批流程，为中小微医疗机构提供“一企一策”精准指导。全面推行“双随机、一公开”监管，减少重复检查、多头检查，切实减轻市场主体负担。 </w:t>
      </w:r>
    </w:p>
    <w:p>
      <w:pPr>
        <w:keepNext w:val="0"/>
        <w:keepLines w:val="0"/>
        <w:pageBreakBefore w:val="0"/>
        <w:widowControl w:val="0"/>
        <w:kinsoku/>
        <w:wordWrap/>
        <w:overflowPunct/>
        <w:topLinePunct w:val="0"/>
        <w:autoSpaceDE/>
        <w:autoSpaceDN/>
        <w:bidi w:val="0"/>
        <w:adjustRightInd/>
        <w:snapToGrid/>
        <w:spacing w:line="570" w:lineRule="exact"/>
        <w:ind w:left="0" w:firstLine="687" w:firstLineChars="200"/>
        <w:jc w:val="both"/>
        <w:textAlignment w:val="auto"/>
        <w:rPr>
          <w:rFonts w:hint="eastAsia" w:ascii="楷体_GB2312" w:hAnsi="楷体_GB2312" w:eastAsia="楷体_GB2312" w:cs="楷体_GB2312"/>
          <w:b/>
          <w:bCs/>
          <w:color w:val="000000" w:themeColor="text1"/>
          <w:spacing w:val="11"/>
          <w:sz w:val="32"/>
          <w:szCs w:val="32"/>
          <w14:textFill>
            <w14:solidFill>
              <w14:schemeClr w14:val="tx1"/>
            </w14:solidFill>
          </w14:textFill>
        </w:rPr>
      </w:pPr>
      <w:r>
        <w:rPr>
          <w:rFonts w:hint="eastAsia" w:ascii="楷体_GB2312" w:hAnsi="楷体_GB2312" w:eastAsia="楷体_GB2312" w:cs="楷体_GB2312"/>
          <w:b/>
          <w:bCs/>
          <w:color w:val="000000" w:themeColor="text1"/>
          <w:spacing w:val="11"/>
          <w:sz w:val="32"/>
          <w:szCs w:val="32"/>
          <w14:textFill>
            <w14:solidFill>
              <w14:schemeClr w14:val="tx1"/>
            </w14:solidFill>
          </w14:textFill>
        </w:rPr>
        <w:t xml:space="preserve">（三）健全制度体系，提升依法决策水平 </w:t>
      </w:r>
    </w:p>
    <w:p>
      <w:pPr>
        <w:keepNext w:val="0"/>
        <w:keepLines w:val="0"/>
        <w:pageBreakBefore w:val="0"/>
        <w:widowControl w:val="0"/>
        <w:kinsoku/>
        <w:wordWrap/>
        <w:overflowPunct/>
        <w:topLinePunct w:val="0"/>
        <w:autoSpaceDE/>
        <w:autoSpaceDN/>
        <w:bidi w:val="0"/>
        <w:adjustRightInd/>
        <w:snapToGrid/>
        <w:spacing w:line="570" w:lineRule="exact"/>
        <w:ind w:left="0" w:firstLine="687" w:firstLineChars="200"/>
        <w:jc w:val="both"/>
        <w:textAlignment w:val="auto"/>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1.规范决策程序。</w:t>
      </w:r>
      <w:r>
        <w:rPr>
          <w:rFonts w:hint="default" w:ascii="Times New Roman" w:hAnsi="Times New Roman" w:eastAsia="仿宋_GB2312" w:cs="Times New Roman"/>
          <w:color w:val="000000" w:themeColor="text1"/>
          <w:spacing w:val="11"/>
          <w:sz w:val="32"/>
          <w:szCs w:val="32"/>
          <w14:textFill>
            <w14:solidFill>
              <w14:schemeClr w14:val="tx1"/>
            </w14:solidFill>
          </w14:textFill>
        </w:rPr>
        <w:t>严格执行《重大行政决策程序暂行条例》，健全公众参与、专家论证、风险评估、合法性审查、集体讨论决定的重大行政决策机制。全年共召开重大行政决策会议</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27</w:t>
      </w:r>
      <w:r>
        <w:rPr>
          <w:rFonts w:hint="default" w:ascii="Times New Roman" w:hAnsi="Times New Roman" w:eastAsia="仿宋_GB2312" w:cs="Times New Roman"/>
          <w:color w:val="000000" w:themeColor="text1"/>
          <w:spacing w:val="11"/>
          <w:sz w:val="32"/>
          <w:szCs w:val="32"/>
          <w14:textFill>
            <w14:solidFill>
              <w14:schemeClr w14:val="tx1"/>
            </w14:solidFill>
          </w14:textFill>
        </w:rPr>
        <w:t>次，对县域医疗服务能力提升规划、公共卫生应急体系建设方案等</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pacing w:val="11"/>
          <w:sz w:val="32"/>
          <w:szCs w:val="32"/>
          <w14:textFill>
            <w14:solidFill>
              <w14:schemeClr w14:val="tx1"/>
            </w14:solidFill>
          </w14:textFill>
        </w:rPr>
        <w:t>项重大事项，均履行公众参与、合法性审查、集体讨论决定等法定程序</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强化合法性审查。</w:t>
      </w:r>
      <w:r>
        <w:rPr>
          <w:rFonts w:hint="default" w:ascii="Times New Roman" w:hAnsi="Times New Roman" w:eastAsia="仿宋_GB2312" w:cs="Times New Roman"/>
          <w:color w:val="000000" w:themeColor="text1"/>
          <w:spacing w:val="11"/>
          <w:sz w:val="32"/>
          <w:szCs w:val="32"/>
          <w14:textFill>
            <w14:solidFill>
              <w14:schemeClr w14:val="tx1"/>
            </w14:solidFill>
          </w14:textFill>
        </w:rPr>
        <w:t>明确合法性审查范围，将规范性文件、重大行政决策、重要合同、重大行政处罚等全部纳入审查范畴，全年完成合法性审查事项</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19</w:t>
      </w:r>
      <w:r>
        <w:rPr>
          <w:rFonts w:hint="default" w:ascii="Times New Roman" w:hAnsi="Times New Roman" w:eastAsia="仿宋_GB2312" w:cs="Times New Roman"/>
          <w:color w:val="000000" w:themeColor="text1"/>
          <w:spacing w:val="11"/>
          <w:sz w:val="32"/>
          <w:szCs w:val="32"/>
          <w14:textFill>
            <w14:solidFill>
              <w14:schemeClr w14:val="tx1"/>
            </w14:solidFill>
          </w14:textFill>
        </w:rPr>
        <w:t>件，其中行政处罚</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11"/>
          <w:sz w:val="32"/>
          <w:szCs w:val="32"/>
          <w14:textFill>
            <w14:solidFill>
              <w14:schemeClr w14:val="tx1"/>
            </w14:solidFill>
          </w14:textFill>
        </w:rPr>
        <w:t>件</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、医疗广告</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4件</w:t>
      </w:r>
      <w:r>
        <w:rPr>
          <w:rFonts w:hint="default" w:ascii="Times New Roman" w:hAnsi="Times New Roman" w:eastAsia="仿宋_GB2312" w:cs="Times New Roman"/>
          <w:color w:val="000000" w:themeColor="text1"/>
          <w:spacing w:val="11"/>
          <w:sz w:val="32"/>
          <w:szCs w:val="32"/>
          <w14:textFill>
            <w14:solidFill>
              <w14:schemeClr w14:val="tx1"/>
            </w14:solidFill>
          </w14:textFill>
        </w:rPr>
        <w:t>，审查通过率100%，确保行政行为于法有据、程序正当。充分发挥法律顾问作用，法律顾问全年参与重大事项论证、合同审查、纠纷处理等法律服务</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49</w:t>
      </w:r>
      <w:r>
        <w:rPr>
          <w:rFonts w:hint="default" w:ascii="Times New Roman" w:hAnsi="Times New Roman" w:eastAsia="仿宋_GB2312" w:cs="Times New Roman"/>
          <w:color w:val="000000" w:themeColor="text1"/>
          <w:spacing w:val="11"/>
          <w:sz w:val="32"/>
          <w:szCs w:val="32"/>
          <w14:textFill>
            <w14:solidFill>
              <w14:schemeClr w14:val="tx1"/>
            </w14:solidFill>
          </w14:textFill>
        </w:rPr>
        <w:t>次，有效防范法律风险。</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3.加强规范性文件管理。</w:t>
      </w:r>
      <w:r>
        <w:rPr>
          <w:rFonts w:hint="default" w:ascii="Times New Roman" w:hAnsi="Times New Roman" w:eastAsia="仿宋_GB2312" w:cs="Times New Roman"/>
          <w:color w:val="000000" w:themeColor="text1"/>
          <w:spacing w:val="11"/>
          <w:sz w:val="32"/>
          <w:szCs w:val="32"/>
          <w14:textFill>
            <w14:solidFill>
              <w14:schemeClr w14:val="tx1"/>
            </w14:solidFill>
          </w14:textFill>
        </w:rPr>
        <w:t xml:space="preserve">严格落实规范性文件“三统一”制度（统一登记、统一编号、统一公布），建立规范性文件动态清理机制，确保制度体系与时俱进。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87" w:firstLineChars="200"/>
        <w:jc w:val="both"/>
        <w:textAlignment w:val="auto"/>
        <w:rPr>
          <w:rFonts w:hint="eastAsia" w:ascii="楷体_GB2312" w:hAnsi="楷体_GB2312" w:eastAsia="楷体_GB2312" w:cs="楷体_GB2312"/>
          <w:b/>
          <w:bCs/>
          <w:color w:val="000000" w:themeColor="text1"/>
          <w:spacing w:val="11"/>
          <w:sz w:val="32"/>
          <w:szCs w:val="32"/>
          <w14:textFill>
            <w14:solidFill>
              <w14:schemeClr w14:val="tx1"/>
            </w14:solidFill>
          </w14:textFill>
        </w:rPr>
      </w:pPr>
      <w:r>
        <w:rPr>
          <w:rFonts w:hint="eastAsia" w:ascii="楷体_GB2312" w:hAnsi="楷体_GB2312" w:eastAsia="楷体_GB2312" w:cs="楷体_GB2312"/>
          <w:b/>
          <w:bCs/>
          <w:color w:val="000000" w:themeColor="text1"/>
          <w:spacing w:val="11"/>
          <w:sz w:val="32"/>
          <w:szCs w:val="32"/>
          <w14:textFill>
            <w14:solidFill>
              <w14:schemeClr w14:val="tx1"/>
            </w14:solidFill>
          </w14:textFill>
        </w:rPr>
        <w:t>（四）规范行政执法行为，提升执法质量效能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1</w:t>
      </w:r>
      <w:r>
        <w:rPr>
          <w:rFonts w:hint="eastAsia" w:ascii="Times New Roman" w:hAnsi="Times New Roman" w:eastAsia="仿宋_GB2312" w:cs="Times New Roman"/>
          <w:b/>
          <w:bCs/>
          <w:color w:val="000000" w:themeColor="text1"/>
          <w:spacing w:val="1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推进执法规范化建设。</w:t>
      </w:r>
      <w:r>
        <w:rPr>
          <w:rFonts w:hint="default" w:ascii="Times New Roman" w:hAnsi="Times New Roman" w:eastAsia="仿宋_GB2312" w:cs="Times New Roman"/>
          <w:color w:val="000000" w:themeColor="text1"/>
          <w:spacing w:val="11"/>
          <w:sz w:val="32"/>
          <w:szCs w:val="32"/>
          <w14:textFill>
            <w14:solidFill>
              <w14:schemeClr w14:val="tx1"/>
            </w14:solidFill>
          </w14:textFill>
        </w:rPr>
        <w:t>全面落实行政执法“三项制度”（行政执法公示制度、执法全过程记录制度、重大执法决定法制审核制度），制定并公开行政执法事项目录清单、执法流程图和自由裁量权基准，规范执法文书制作和案卷管理。全年开展执法案卷评查</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11"/>
          <w:sz w:val="32"/>
          <w:szCs w:val="32"/>
          <w14:textFill>
            <w14:solidFill>
              <w14:schemeClr w14:val="tx1"/>
            </w14:solidFill>
          </w14:textFill>
        </w:rPr>
        <w:t>次，评查案卷</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43</w:t>
      </w:r>
      <w:r>
        <w:rPr>
          <w:rFonts w:hint="default" w:ascii="Times New Roman" w:hAnsi="Times New Roman" w:eastAsia="仿宋_GB2312" w:cs="Times New Roman"/>
          <w:color w:val="000000" w:themeColor="text1"/>
          <w:spacing w:val="11"/>
          <w:sz w:val="32"/>
          <w:szCs w:val="32"/>
          <w14:textFill>
            <w14:solidFill>
              <w14:schemeClr w14:val="tx1"/>
            </w14:solidFill>
          </w14:textFill>
        </w:rPr>
        <w:t>卷，整改问题32项，执法案卷合格率达9</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1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2</w:t>
      </w:r>
      <w:r>
        <w:rPr>
          <w:rFonts w:hint="eastAsia" w:ascii="Times New Roman" w:hAnsi="Times New Roman" w:eastAsia="仿宋_GB2312" w:cs="Times New Roman"/>
          <w:b/>
          <w:bCs/>
          <w:color w:val="000000" w:themeColor="text1"/>
          <w:spacing w:val="1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加大重点领域执法力度。</w:t>
      </w:r>
      <w:r>
        <w:rPr>
          <w:rFonts w:hint="default" w:ascii="Times New Roman" w:hAnsi="Times New Roman" w:eastAsia="仿宋_GB2312" w:cs="Times New Roman"/>
          <w:color w:val="000000" w:themeColor="text1"/>
          <w:spacing w:val="11"/>
          <w:sz w:val="32"/>
          <w:szCs w:val="32"/>
          <w14:textFill>
            <w14:solidFill>
              <w14:schemeClr w14:val="tx1"/>
            </w14:solidFill>
          </w14:textFill>
        </w:rPr>
        <w:t>聚焦医疗卫生、公共卫生、职业卫生、妇幼健康等重点领域，依法打击非法行医、医疗美容乱象、传染病防治不到位等违法行为。全年共立案查处违法案件</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pacing w:val="11"/>
          <w:sz w:val="32"/>
          <w:szCs w:val="32"/>
          <w14:textFill>
            <w14:solidFill>
              <w14:schemeClr w14:val="tx1"/>
            </w14:solidFill>
          </w14:textFill>
        </w:rPr>
        <w:t>起，有效净化了医疗卫生市场环境。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3</w:t>
      </w:r>
      <w:r>
        <w:rPr>
          <w:rFonts w:hint="eastAsia" w:ascii="Times New Roman" w:hAnsi="Times New Roman" w:eastAsia="仿宋_GB2312" w:cs="Times New Roman"/>
          <w:b/>
          <w:bCs/>
          <w:color w:val="000000" w:themeColor="text1"/>
          <w:spacing w:val="1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推行服务型执法。</w:t>
      </w:r>
      <w:r>
        <w:rPr>
          <w:rFonts w:hint="default" w:ascii="Times New Roman" w:hAnsi="Times New Roman" w:eastAsia="仿宋_GB2312" w:cs="Times New Roman"/>
          <w:color w:val="000000" w:themeColor="text1"/>
          <w:spacing w:val="11"/>
          <w:sz w:val="32"/>
          <w:szCs w:val="32"/>
          <w14:textFill>
            <w14:solidFill>
              <w14:schemeClr w14:val="tx1"/>
            </w14:solidFill>
          </w14:textFill>
        </w:rPr>
        <w:t xml:space="preserve">坚持“执法+服务”理念，在执法过程中开展普法宣传、技术指导和整改帮扶，对轻微违法违规行为，落实“首违不罚”“从轻减轻处罚”清单，采取警示告诫、限期整改等柔性执法方式，实现执法效果与社会效果相统一。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eastAsia" w:ascii="楷体_GB2312" w:hAnsi="楷体_GB2312" w:eastAsia="楷体_GB2312" w:cs="楷体_GB2312"/>
          <w:b/>
          <w:bCs/>
          <w:color w:val="000000" w:themeColor="text1"/>
          <w:spacing w:val="11"/>
          <w:sz w:val="32"/>
          <w:szCs w:val="32"/>
          <w14:textFill>
            <w14:solidFill>
              <w14:schemeClr w14:val="tx1"/>
            </w14:solidFill>
          </w14:textFill>
        </w:rPr>
      </w:pPr>
      <w:r>
        <w:rPr>
          <w:rFonts w:hint="eastAsia" w:ascii="楷体_GB2312" w:hAnsi="楷体_GB2312" w:eastAsia="楷体_GB2312" w:cs="楷体_GB2312"/>
          <w:b/>
          <w:bCs/>
          <w:color w:val="000000" w:themeColor="text1"/>
          <w:spacing w:val="11"/>
          <w:sz w:val="32"/>
          <w:szCs w:val="32"/>
          <w14:textFill>
            <w14:solidFill>
              <w14:schemeClr w14:val="tx1"/>
            </w14:solidFill>
          </w14:textFill>
        </w:rPr>
        <w:t>（</w:t>
      </w:r>
      <w:r>
        <w:rPr>
          <w:rFonts w:hint="eastAsia" w:ascii="楷体_GB2312" w:hAnsi="楷体_GB2312" w:eastAsia="楷体_GB2312" w:cs="楷体_GB2312"/>
          <w:b/>
          <w:bCs/>
          <w:color w:val="000000" w:themeColor="text1"/>
          <w:spacing w:val="11"/>
          <w:sz w:val="32"/>
          <w:szCs w:val="32"/>
          <w:lang w:eastAsia="zh-CN"/>
          <w14:textFill>
            <w14:solidFill>
              <w14:schemeClr w14:val="tx1"/>
            </w14:solidFill>
          </w14:textFill>
        </w:rPr>
        <w:t>五</w:t>
      </w:r>
      <w:r>
        <w:rPr>
          <w:rFonts w:hint="eastAsia" w:ascii="楷体_GB2312" w:hAnsi="楷体_GB2312" w:eastAsia="楷体_GB2312" w:cs="楷体_GB2312"/>
          <w:b/>
          <w:bCs/>
          <w:color w:val="000000" w:themeColor="text1"/>
          <w:spacing w:val="11"/>
          <w:sz w:val="32"/>
          <w:szCs w:val="32"/>
          <w14:textFill>
            <w14:solidFill>
              <w14:schemeClr w14:val="tx1"/>
            </w14:solidFill>
          </w14:textFill>
        </w:rPr>
        <w:t xml:space="preserve">）深化普法宣传，筑牢法治思想根基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1</w:t>
      </w:r>
      <w:r>
        <w:rPr>
          <w:rFonts w:hint="eastAsia" w:ascii="Times New Roman" w:hAnsi="Times New Roman" w:eastAsia="仿宋_GB2312" w:cs="Times New Roman"/>
          <w:b/>
          <w:bCs/>
          <w:color w:val="000000" w:themeColor="text1"/>
          <w:spacing w:val="1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强化系统内学法。</w:t>
      </w:r>
      <w:r>
        <w:rPr>
          <w:rFonts w:hint="default" w:ascii="Times New Roman" w:hAnsi="Times New Roman" w:eastAsia="仿宋_GB2312" w:cs="Times New Roman"/>
          <w:color w:val="000000" w:themeColor="text1"/>
          <w:spacing w:val="11"/>
          <w:sz w:val="32"/>
          <w:szCs w:val="32"/>
          <w14:textFill>
            <w14:solidFill>
              <w14:schemeClr w14:val="tx1"/>
            </w14:solidFill>
          </w14:textFill>
        </w:rPr>
        <w:t>将习近平法治思想、宪法、民法典及卫生健康领域法律法规纳入党组理论学习中心组学习计划和干部职工教育培训体系，全年组织党组中心组法治专题学习</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11"/>
          <w:sz w:val="32"/>
          <w:szCs w:val="32"/>
          <w14:textFill>
            <w14:solidFill>
              <w14:schemeClr w14:val="tx1"/>
            </w14:solidFill>
          </w14:textFill>
        </w:rPr>
        <w:t>次，开展全系统干部职工法治培训</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11"/>
          <w:sz w:val="32"/>
          <w:szCs w:val="32"/>
          <w14:textFill>
            <w14:solidFill>
              <w14:schemeClr w14:val="tx1"/>
            </w14:solidFill>
          </w14:textFill>
        </w:rPr>
        <w:t>期，培训</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00</w:t>
      </w:r>
      <w:r>
        <w:rPr>
          <w:rFonts w:hint="default" w:ascii="Times New Roman" w:hAnsi="Times New Roman" w:eastAsia="仿宋_GB2312" w:cs="Times New Roman"/>
          <w:color w:val="000000" w:themeColor="text1"/>
          <w:spacing w:val="11"/>
          <w:sz w:val="32"/>
          <w:szCs w:val="32"/>
          <w14:textFill>
            <w14:solidFill>
              <w14:schemeClr w14:val="tx1"/>
            </w14:solidFill>
          </w14:textFill>
        </w:rPr>
        <w:t>余人次</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推动领导干部年终述法制度落实，将法治学习、依法决策、依法履职情况作为领导干部年度考核的重要内容。</w:t>
      </w:r>
    </w:p>
    <w:p>
      <w:pPr>
        <w:keepNext w:val="0"/>
        <w:keepLines w:val="0"/>
        <w:pageBreakBefore w:val="0"/>
        <w:widowControl w:val="0"/>
        <w:kinsoku/>
        <w:wordWrap/>
        <w:overflowPunct/>
        <w:topLinePunct w:val="0"/>
        <w:autoSpaceDE/>
        <w:autoSpaceDN/>
        <w:bidi w:val="0"/>
        <w:adjustRightInd/>
        <w:snapToGrid/>
        <w:spacing w:line="570" w:lineRule="exact"/>
        <w:ind w:left="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2</w:t>
      </w:r>
      <w:r>
        <w:rPr>
          <w:rFonts w:hint="eastAsia" w:ascii="Times New Roman" w:hAnsi="Times New Roman" w:eastAsia="仿宋_GB2312" w:cs="Times New Roman"/>
          <w:b/>
          <w:bCs/>
          <w:color w:val="000000" w:themeColor="text1"/>
          <w:spacing w:val="1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落实“谁执法谁普法”责任制。</w:t>
      </w:r>
      <w:r>
        <w:rPr>
          <w:rFonts w:hint="default" w:ascii="Times New Roman" w:hAnsi="Times New Roman" w:eastAsia="仿宋_GB2312" w:cs="Times New Roman"/>
          <w:color w:val="000000" w:themeColor="text1"/>
          <w:spacing w:val="11"/>
          <w:sz w:val="32"/>
          <w:szCs w:val="32"/>
          <w14:textFill>
            <w14:solidFill>
              <w14:schemeClr w14:val="tx1"/>
            </w14:solidFill>
          </w14:textFill>
        </w:rPr>
        <w:t>制定年度普法工作计划和普法责任清单，结合“宪法宣传周”“职业病防治法宣传周”“</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 xml:space="preserve"> 民法典</w:t>
      </w:r>
      <w:r>
        <w:rPr>
          <w:rFonts w:hint="default" w:ascii="Times New Roman" w:hAnsi="Times New Roman" w:eastAsia="仿宋_GB2312" w:cs="Times New Roman"/>
          <w:color w:val="000000" w:themeColor="text1"/>
          <w:spacing w:val="11"/>
          <w:sz w:val="32"/>
          <w:szCs w:val="32"/>
          <w14:textFill>
            <w14:solidFill>
              <w14:schemeClr w14:val="tx1"/>
            </w14:solidFill>
          </w14:textFill>
        </w:rPr>
        <w:t>宣传周”等重要节点，开展形式多样的普法宣传活动</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11"/>
          <w:sz w:val="32"/>
          <w:szCs w:val="32"/>
          <w14:textFill>
            <w14:solidFill>
              <w14:schemeClr w14:val="tx1"/>
            </w14:solidFill>
          </w14:textFill>
        </w:rPr>
        <w:t>场次</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，发放宣传资料500余份，覆盖群众800余人次。</w:t>
      </w:r>
    </w:p>
    <w:p>
      <w:pPr>
        <w:keepNext w:val="0"/>
        <w:keepLines w:val="0"/>
        <w:pageBreakBefore w:val="0"/>
        <w:widowControl w:val="0"/>
        <w:kinsoku/>
        <w:wordWrap/>
        <w:overflowPunct/>
        <w:topLinePunct w:val="0"/>
        <w:autoSpaceDE/>
        <w:autoSpaceDN/>
        <w:bidi w:val="0"/>
        <w:adjustRightInd/>
        <w:snapToGrid/>
        <w:spacing w:line="570" w:lineRule="exact"/>
        <w:ind w:left="0" w:firstLine="687" w:firstLineChars="200"/>
        <w:jc w:val="both"/>
        <w:textAlignment w:val="auto"/>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3</w:t>
      </w:r>
      <w:r>
        <w:rPr>
          <w:rFonts w:hint="eastAsia" w:ascii="Times New Roman" w:hAnsi="Times New Roman" w:eastAsia="仿宋_GB2312" w:cs="Times New Roman"/>
          <w:b/>
          <w:bCs/>
          <w:color w:val="000000" w:themeColor="text1"/>
          <w:spacing w:val="1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聚焦重点群体普法</w:t>
      </w:r>
      <w:r>
        <w:rPr>
          <w:rFonts w:hint="default" w:ascii="Times New Roman" w:hAnsi="Times New Roman" w:eastAsia="仿宋_GB2312" w:cs="Times New Roman"/>
          <w:b/>
          <w:bCs/>
          <w:color w:val="000000" w:themeColor="text1"/>
          <w:spacing w:val="1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组织开展卫生健康法律法规专题培训，邀请业务骨干进行授课，重点培训医疗机构负责人、医务人员、行政执法人员等关键岗位人员，提升其依法执业、依法执法的能力和水平。全年共组织各类法治培训</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场次，培训人员400余人次。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4" w:firstLineChars="200"/>
        <w:jc w:val="both"/>
        <w:textAlignment w:val="auto"/>
        <w:rPr>
          <w:rFonts w:hint="eastAsia" w:ascii="黑体" w:hAnsi="黑体" w:eastAsia="黑体" w:cs="黑体"/>
          <w:color w:val="000000" w:themeColor="text1"/>
          <w:spacing w:val="11"/>
          <w:sz w:val="32"/>
          <w:szCs w:val="32"/>
          <w14:textFill>
            <w14:solidFill>
              <w14:schemeClr w14:val="tx1"/>
            </w14:solidFill>
          </w14:textFill>
        </w:rPr>
      </w:pPr>
      <w:r>
        <w:rPr>
          <w:rFonts w:hint="eastAsia" w:ascii="黑体" w:hAnsi="黑体" w:eastAsia="黑体" w:cs="黑体"/>
          <w:color w:val="000000" w:themeColor="text1"/>
          <w:spacing w:val="11"/>
          <w:sz w:val="32"/>
          <w:szCs w:val="32"/>
          <w14:textFill>
            <w14:solidFill>
              <w14:schemeClr w14:val="tx1"/>
            </w14:solidFill>
          </w14:textFill>
        </w:rPr>
        <w:t>二、2025年度法治政府建设存在的不足</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1.法治人才队伍建设有待加强。</w:t>
      </w:r>
      <w:r>
        <w:rPr>
          <w:rFonts w:hint="default" w:ascii="Times New Roman" w:hAnsi="Times New Roman" w:eastAsia="仿宋_GB2312" w:cs="Times New Roman"/>
          <w:color w:val="000000" w:themeColor="text1"/>
          <w:spacing w:val="11"/>
          <w:sz w:val="32"/>
          <w:szCs w:val="32"/>
          <w14:textFill>
            <w14:solidFill>
              <w14:schemeClr w14:val="tx1"/>
            </w14:solidFill>
          </w14:textFill>
        </w:rPr>
        <w:t>全系统执法人员中，兼具医学背景和法律专业知识的复合型人才</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少</w:t>
      </w:r>
      <w:r>
        <w:rPr>
          <w:rFonts w:hint="default" w:ascii="Times New Roman" w:hAnsi="Times New Roman" w:eastAsia="仿宋_GB2312" w:cs="Times New Roman"/>
          <w:color w:val="000000" w:themeColor="text1"/>
          <w:spacing w:val="11"/>
          <w:sz w:val="32"/>
          <w:szCs w:val="32"/>
          <w14:textFill>
            <w14:solidFill>
              <w14:schemeClr w14:val="tx1"/>
            </w14:solidFill>
          </w14:textFill>
        </w:rPr>
        <w:t>，部分执法人员法治素养和业务能力有待提升，应对新业态、新领域监管的专业能力不足，执法规范化水平仍有提升空间。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2.普法宣传的针对性和实效性有待提升。</w:t>
      </w:r>
      <w:r>
        <w:rPr>
          <w:rFonts w:hint="default" w:ascii="Times New Roman" w:hAnsi="Times New Roman" w:eastAsia="仿宋_GB2312" w:cs="Times New Roman"/>
          <w:color w:val="000000" w:themeColor="text1"/>
          <w:spacing w:val="11"/>
          <w:sz w:val="32"/>
          <w:szCs w:val="32"/>
          <w14:textFill>
            <w14:solidFill>
              <w14:schemeClr w14:val="tx1"/>
            </w14:solidFill>
          </w14:textFill>
        </w:rPr>
        <w:t>普法宣传形式仍以传统方式为主，新媒体普法的深度和广度不够，针对不同群体（如老年人、青少年、医疗机构从业人员、企业职工）的精准普法不足，普法内容与群众需求契合度有待提高。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3.事中事后监管精细化水平有待提高。</w:t>
      </w:r>
      <w:r>
        <w:rPr>
          <w:rFonts w:hint="default" w:ascii="Times New Roman" w:hAnsi="Times New Roman" w:eastAsia="仿宋_GB2312" w:cs="Times New Roman"/>
          <w:color w:val="000000" w:themeColor="text1"/>
          <w:spacing w:val="11"/>
          <w:sz w:val="32"/>
          <w:szCs w:val="32"/>
          <w14:textFill>
            <w14:solidFill>
              <w14:schemeClr w14:val="tx1"/>
            </w14:solidFill>
          </w14:textFill>
        </w:rPr>
        <w:t>对医疗美容、互联网诊疗等新业态、新领域的监管规则不够完善，监管手段相对滞后，“互联网+监管”的深度应用不足，部分领域存在监管盲区和漏洞。</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4" w:firstLineChars="200"/>
        <w:jc w:val="both"/>
        <w:textAlignment w:val="auto"/>
        <w:rPr>
          <w:rFonts w:hint="eastAsia" w:ascii="黑体" w:hAnsi="黑体" w:eastAsia="黑体" w:cs="黑体"/>
          <w:color w:val="000000" w:themeColor="text1"/>
          <w:spacing w:val="11"/>
          <w:sz w:val="32"/>
          <w:szCs w:val="32"/>
          <w14:textFill>
            <w14:solidFill>
              <w14:schemeClr w14:val="tx1"/>
            </w14:solidFill>
          </w14:textFill>
        </w:rPr>
      </w:pPr>
      <w:r>
        <w:rPr>
          <w:rFonts w:hint="eastAsia" w:ascii="黑体" w:hAnsi="黑体" w:eastAsia="黑体" w:cs="黑体"/>
          <w:color w:val="000000" w:themeColor="text1"/>
          <w:spacing w:val="11"/>
          <w:sz w:val="32"/>
          <w:szCs w:val="32"/>
          <w14:textFill>
            <w14:solidFill>
              <w14:schemeClr w14:val="tx1"/>
            </w14:solidFill>
          </w14:textFill>
        </w:rPr>
        <w:t>三、2026年度法治政府建设工作安排</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1. 持续强化理论武装与组织领导。</w:t>
      </w:r>
      <w:r>
        <w:rPr>
          <w:rFonts w:hint="default" w:ascii="Times New Roman" w:hAnsi="Times New Roman" w:eastAsia="仿宋_GB2312" w:cs="Times New Roman"/>
          <w:color w:val="000000" w:themeColor="text1"/>
          <w:spacing w:val="11"/>
          <w:sz w:val="32"/>
          <w:szCs w:val="32"/>
          <w14:textFill>
            <w14:solidFill>
              <w14:schemeClr w14:val="tx1"/>
            </w14:solidFill>
          </w14:textFill>
        </w:rPr>
        <w:t>深入学习贯彻习近平法治思想，将其纳入党组理论学习中心组学习和干部职工教育培训的核心内容</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进一步压实法治建设责任，完善法治建设考核评价体系，加大考核结果运用力度，推动法治建设各项任务落到实处</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2. 深化“放管服”改革与职能优化。</w:t>
      </w:r>
      <w:r>
        <w:rPr>
          <w:rFonts w:hint="default" w:ascii="Times New Roman" w:hAnsi="Times New Roman" w:eastAsia="仿宋_GB2312" w:cs="Times New Roman"/>
          <w:color w:val="000000" w:themeColor="text1"/>
          <w:spacing w:val="11"/>
          <w:sz w:val="32"/>
          <w:szCs w:val="32"/>
          <w14:textFill>
            <w14:solidFill>
              <w14:schemeClr w14:val="tx1"/>
            </w14:solidFill>
          </w14:textFill>
        </w:rPr>
        <w:t>持续优化行政审批服务，推进政务服务标准化、规范化、便利化</w:t>
      </w:r>
      <w:r>
        <w:rPr>
          <w:rFonts w:hint="default" w:ascii="Times New Roman" w:hAnsi="Times New Roman" w:eastAsia="仿宋_GB2312" w:cs="Times New Roman"/>
          <w:color w:val="000000" w:themeColor="text1"/>
          <w:spacing w:val="1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11"/>
          <w:sz w:val="32"/>
          <w:szCs w:val="32"/>
          <w14:textFill>
            <w14:solidFill>
              <w14:schemeClr w14:val="tx1"/>
            </w14:solidFill>
          </w14:textFill>
        </w:rPr>
        <w:t>持续优化法治化营商环境，依法平等保护各类市场主体产权和自主经营权，为社会办医提供更加便利的政策支持。</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3. 全面提升行政执法规范化水平。</w:t>
      </w:r>
      <w:r>
        <w:rPr>
          <w:rFonts w:hint="default" w:ascii="Times New Roman" w:hAnsi="Times New Roman" w:eastAsia="仿宋_GB2312" w:cs="Times New Roman"/>
          <w:color w:val="000000" w:themeColor="text1"/>
          <w:spacing w:val="11"/>
          <w:sz w:val="32"/>
          <w:szCs w:val="32"/>
          <w14:textFill>
            <w14:solidFill>
              <w14:schemeClr w14:val="tx1"/>
            </w14:solidFill>
          </w14:textFill>
        </w:rPr>
        <w:t>加强执法队伍建设，加大复合型法治人才培养和引进力度，提升执法人员专业素养和业务能力。深入推进行政执法“三项制度”，完善执法程序，规范执法行为，加强执法案卷评查和执法监督，提高执法质量和效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7" w:firstLineChars="200"/>
        <w:jc w:val="both"/>
        <w:textAlignment w:val="auto"/>
        <w:rPr>
          <w:rFonts w:hint="default" w:ascii="Times New Roman" w:hAnsi="Times New Roman" w:eastAsia="仿宋_GB2312" w:cs="Times New Roman"/>
          <w:color w:val="000000" w:themeColor="text1"/>
          <w:spacing w:val="11"/>
          <w:sz w:val="32"/>
          <w:szCs w:val="32"/>
          <w14:textFill>
            <w14:solidFill>
              <w14:schemeClr w14:val="tx1"/>
            </w14:solidFill>
          </w14:textFill>
        </w:rPr>
      </w:pPr>
      <w:r>
        <w:rPr>
          <w:rFonts w:hint="default" w:ascii="Times New Roman" w:hAnsi="Times New Roman" w:eastAsia="仿宋_GB2312" w:cs="Times New Roman"/>
          <w:b/>
          <w:bCs/>
          <w:color w:val="000000" w:themeColor="text1"/>
          <w:spacing w:val="11"/>
          <w:sz w:val="32"/>
          <w:szCs w:val="32"/>
          <w:lang w:val="en-US" w:eastAsia="zh-CN"/>
          <w14:textFill>
            <w14:solidFill>
              <w14:schemeClr w14:val="tx1"/>
            </w14:solidFill>
          </w14:textFill>
        </w:rPr>
        <w:t>4</w:t>
      </w:r>
      <w:r>
        <w:rPr>
          <w:rFonts w:hint="default" w:ascii="Times New Roman" w:hAnsi="Times New Roman" w:eastAsia="仿宋_GB2312" w:cs="Times New Roman"/>
          <w:b/>
          <w:bCs/>
          <w:color w:val="000000" w:themeColor="text1"/>
          <w:spacing w:val="11"/>
          <w:sz w:val="32"/>
          <w:szCs w:val="32"/>
          <w14:textFill>
            <w14:solidFill>
              <w14:schemeClr w14:val="tx1"/>
            </w14:solidFill>
          </w14:textFill>
        </w:rPr>
        <w:t>. 创新普法宣传与法治教育。</w:t>
      </w:r>
      <w:r>
        <w:rPr>
          <w:rFonts w:hint="default" w:ascii="Times New Roman" w:hAnsi="Times New Roman" w:eastAsia="仿宋_GB2312" w:cs="Times New Roman"/>
          <w:color w:val="000000" w:themeColor="text1"/>
          <w:spacing w:val="11"/>
          <w:sz w:val="32"/>
          <w:szCs w:val="32"/>
          <w14:textFill>
            <w14:solidFill>
              <w14:schemeClr w14:val="tx1"/>
            </w14:solidFill>
          </w14:textFill>
        </w:rPr>
        <w:t>创新普法宣传形式，充分利用新媒体平台开展精准普法，针对不同群体制定差异化普法内容，提高普法宣传的针对性和实效性。</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4" w:firstLineChars="200"/>
        <w:jc w:val="both"/>
        <w:textAlignment w:val="auto"/>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5472" w:firstLineChars="1600"/>
        <w:jc w:val="both"/>
        <w:textAlignment w:val="auto"/>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2026</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年</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月</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17</w:t>
      </w:r>
      <w:r>
        <w:rPr>
          <w:rFonts w:hint="eastAsia" w:ascii="Times New Roman" w:hAnsi="Times New Roman" w:eastAsia="仿宋_GB2312" w:cs="Times New Roman"/>
          <w:color w:val="000000" w:themeColor="text1"/>
          <w:spacing w:val="11"/>
          <w:sz w:val="32"/>
          <w:szCs w:val="32"/>
          <w:lang w:val="en-US" w:eastAsia="zh-CN"/>
          <w14:textFill>
            <w14:solidFill>
              <w14:schemeClr w14:val="tx1"/>
            </w14:solidFill>
          </w14:textFill>
        </w:rPr>
        <w:t>日</w:t>
      </w:r>
    </w:p>
    <w:sectPr>
      <w:footerReference r:id="rId3" w:type="default"/>
      <w:pgSz w:w="11906" w:h="16838"/>
      <w:pgMar w:top="2211" w:right="1417" w:bottom="1871" w:left="1644" w:header="964" w:footer="133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11B36B-E491-4D1B-8A78-7A09CA79E9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00000000000000000"/>
    <w:charset w:val="86"/>
    <w:family w:val="auto"/>
    <w:pitch w:val="default"/>
    <w:sig w:usb0="00000001" w:usb1="080E0000" w:usb2="00000000" w:usb3="00000000" w:csb0="00040000" w:csb1="00000000"/>
    <w:embedRegular r:id="rId2" w:fontKey="{2A801DA8-C4EC-4B57-BF67-42F26BBFB710}"/>
  </w:font>
  <w:font w:name="仿宋_GB2312">
    <w:panose1 w:val="02010609030101010101"/>
    <w:charset w:val="86"/>
    <w:family w:val="auto"/>
    <w:pitch w:val="default"/>
    <w:sig w:usb0="00000001" w:usb1="080E0000" w:usb2="00000000" w:usb3="00000000" w:csb0="00040000" w:csb1="00000000"/>
    <w:embedRegular r:id="rId3" w:fontKey="{A6A0A7A4-B859-4202-A3DC-DBFDB250D781}"/>
  </w:font>
  <w:font w:name="楷体_GB2312">
    <w:altName w:val="楷体"/>
    <w:panose1 w:val="02010609030101010101"/>
    <w:charset w:val="86"/>
    <w:family w:val="auto"/>
    <w:pitch w:val="default"/>
    <w:sig w:usb0="00000000" w:usb1="00000000" w:usb2="00000000" w:usb3="00000000" w:csb0="00040000" w:csb1="00000000"/>
    <w:embedRegular r:id="rId4" w:fontKey="{4C94AB36-4435-47A9-9689-EFE44486AC5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20371E71"/>
    <w:rsid w:val="143A490F"/>
    <w:rsid w:val="1DD633BB"/>
    <w:rsid w:val="20371E71"/>
    <w:rsid w:val="2A29329B"/>
    <w:rsid w:val="2B923010"/>
    <w:rsid w:val="4EBA56D3"/>
    <w:rsid w:val="5EC178AA"/>
    <w:rsid w:val="63014E7B"/>
    <w:rsid w:val="73C0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2633</Words>
  <Characters>2714</Characters>
  <Lines>0</Lines>
  <Paragraphs>0</Paragraphs>
  <TotalTime>85</TotalTime>
  <ScaleCrop>false</ScaleCrop>
  <LinksUpToDate>false</LinksUpToDate>
  <CharactersWithSpaces>2728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2026-01-19T00:53:00Z</dcterms:created>
  <dc:creator>云朵朵</dc:creator>
  <cp:lastModifiedBy>Sunshine</cp:lastModifiedBy>
  <cp:lastPrinted>2026-03-04T07:05:00Z</cp:lastPrinted>
  <dcterms:modified xsi:type="dcterms:W3CDTF">2026-03-24T00:49:37Z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5F6405F68DDF41CFA072262AD622A060_13</vt:lpwstr>
  </property>
  <property fmtid="{D5CDD505-2E9C-101B-9397-08002B2CF9AE}" pid="4" name="KSOTemplateDocerSaveRecord">
    <vt:lpwstr>eyJoZGlkIjoiMjkyMDNmZDYyYjRlNzE2YTFmNDIyNzc0ZDZlOGQ1ZDciLCJ1c2VySWQiOiIzNTY0NTg1ODQifQ==</vt:lpwstr>
  </property>
</Properties>
</file>