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OLE_LINK1"/>
      <w:bookmarkStart w:id="1" w:name="OLE_LINK1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卢氏县木桐乡2026年中央财政以工代赈项目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“租购聘”工作方案</w:t>
      </w:r>
      <w:bookmarkEnd w:id="1"/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根据河南省发展和改革委员会等部门印发的《河南省以工代赈项目村民自建工作指南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试行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》等文件精神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，木桐乡张家村、拐峪村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本着公开公平公正原则，在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木桐乡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人民政府指导下，经村“两委”和项目理事会召开专题会议研究，并经村民代表大会讨论通过，议定项目建设各种机械设备租赁、材料购买、技术人员聘用等相关事宜，结合项目建设实际，特制定</w:t>
      </w:r>
      <w:bookmarkStart w:id="2" w:name="OLE_LINK2"/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卢氏县木桐乡2026年中央财政以工代赈项目</w:t>
      </w:r>
      <w:bookmarkEnd w:id="2"/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“租购聘”工作方案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right="0" w:firstLine="652" w:firstLineChars="200"/>
        <w:textAlignment w:val="auto"/>
        <w:outlineLvl w:val="2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一</w:t>
      </w:r>
      <w:r>
        <w:rPr>
          <w:rFonts w:ascii="黑体" w:hAnsi="黑体" w:eastAsia="黑体" w:cs="黑体"/>
          <w:b w:val="0"/>
          <w:bCs w:val="0"/>
          <w:color w:val="auto"/>
          <w:spacing w:val="-70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color w:val="auto"/>
          <w:spacing w:val="3"/>
          <w:sz w:val="32"/>
          <w:szCs w:val="32"/>
        </w:rPr>
        <w:t>、工程概况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bookmarkStart w:id="3" w:name="OLE_LINK3"/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卢氏县木桐乡2026年中央财政以工代赈项目</w:t>
      </w:r>
      <w:bookmarkEnd w:id="3"/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位于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木桐乡张家村、拐峪村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，主要建设内容为：提升改造村道2.8公里，宽3米；新建护堤坝1362米。项目总投资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400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万元，其中中央资金400万元。建设工期为：2026年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月至2026年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二、租购聘主要内容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（一）机械设备租赁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机械设备配置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7"/>
          <w:sz w:val="32"/>
          <w:szCs w:val="32"/>
        </w:rPr>
        <w:t>主要机械设备租赁清单</w:t>
      </w:r>
    </w:p>
    <w:tbl>
      <w:tblPr>
        <w:tblStyle w:val="8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621"/>
        <w:gridCol w:w="1730"/>
        <w:gridCol w:w="1577"/>
        <w:gridCol w:w="1577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before="153" w:line="221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用途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租赁方式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搅拌机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自落式 0.4m3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混凝土搅拌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搅拌机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自落式 0.4m3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砂浆搅拌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蛙式夯实机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2.8kw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回填土夯填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水泥路面切割机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切割水泥路面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计算工程量，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含驾驶员、维修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震动板震动棒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水泥路面封闭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电缆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国标3*75+1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00m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电力供应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装载机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清理施工现场土石方杂物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含驾驶员，含燃油、维修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水泵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1.5寸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供水、根基抽水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包干租赁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2.资格要求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机械设备距法定报废时间三年以上且未发生过重大事故；机手年龄在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23-65岁之间，身体健康，无重大病史，从业年限不低于5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年且具备公路工程施工经历；机械设备、机手意外保险齐全。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招租办法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广泛宣传。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通过官方门户网站、微信、抖音、快手平台，村公告，村组干部、理事会成员、村群众对外宣传扩大知晓面，争取更多的机主报名参与。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自主报名。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报名处为理事会材料服务采购组，具体负责人为理事会材料服务采购组组长：曲根令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13253958708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。（见附件1）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公开评定。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制定机械设备招租百分评定办法（见附件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2），按照报价、机械设备、机手三部分公开评定，按得分从高到低确定中标机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械，并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公示，接受监督，公示期5个工作日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签订协议。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逐台机械设备签订机械设备租赁协议。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（二）材料采购部分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材料清单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依据设计材料清单如下：</w:t>
      </w:r>
    </w:p>
    <w:tbl>
      <w:tblPr>
        <w:tblStyle w:val="8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3160"/>
        <w:gridCol w:w="1549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材料种类</w:t>
            </w:r>
          </w:p>
        </w:tc>
        <w:tc>
          <w:tcPr>
            <w:tcW w:w="3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规格及要求</w:t>
            </w:r>
          </w:p>
        </w:tc>
        <w:tc>
          <w:tcPr>
            <w:tcW w:w="15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16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水泥</w:t>
            </w:r>
          </w:p>
        </w:tc>
        <w:tc>
          <w:tcPr>
            <w:tcW w:w="3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PC42.5</w:t>
            </w:r>
          </w:p>
        </w:tc>
        <w:tc>
          <w:tcPr>
            <w:tcW w:w="15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1242.14t</w:t>
            </w:r>
          </w:p>
        </w:tc>
        <w:tc>
          <w:tcPr>
            <w:tcW w:w="161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材料用量根据卢氏   </w:t>
            </w:r>
            <w:bookmarkStart w:id="11" w:name="_GoBack"/>
            <w:bookmarkEnd w:id="11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县财政投资评审中心-招标工程量清单为准，单次询价分批次购买。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块石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块石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8443m³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砂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中粗砂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3781m³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碎石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1128m³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闭孔泡沫板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525m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排水管</w:t>
            </w:r>
          </w:p>
        </w:tc>
        <w:tc>
          <w:tcPr>
            <w:tcW w:w="3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DN75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852m</w:t>
            </w:r>
          </w:p>
        </w:tc>
        <w:tc>
          <w:tcPr>
            <w:tcW w:w="161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采购办法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（1）公开询价。理事会采购组在理事会领导下现场询价，询价员不少于3人，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每种材料询价不少于3家（报名表见附件3）。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（2）公开评定。制定材料采购百分评定办法（见附件4），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从高到低确定中标人，并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公示，接受监督，公示期5个工作日。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（3）签订采购合同。公示期满，无异议签订采购合同。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（三）技术服务部分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依据项目性质、投资规模、施工设计和实际需要公开面向社会选聘施工技术员1名、监理单位1家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、跟踪结算审核单位1家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 w:cs="黑体"/>
          <w:spacing w:val="7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岗位需求及职责</w:t>
      </w:r>
    </w:p>
    <w:tbl>
      <w:tblPr>
        <w:tblStyle w:val="11"/>
        <w:tblW w:w="8803" w:type="dxa"/>
        <w:tblInd w:w="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24"/>
        <w:gridCol w:w="6290"/>
        <w:gridCol w:w="84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845" w:type="dxa"/>
            <w:tcBorders>
              <w:top w:val="single" w:color="231F20" w:sz="6" w:space="0"/>
              <w:lef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32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名称</w:t>
            </w:r>
          </w:p>
        </w:tc>
        <w:tc>
          <w:tcPr>
            <w:tcW w:w="824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1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08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数量</w:t>
            </w:r>
          </w:p>
        </w:tc>
        <w:tc>
          <w:tcPr>
            <w:tcW w:w="6290" w:type="dxa"/>
            <w:tcBorders>
              <w:top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岗位职责</w:t>
            </w:r>
          </w:p>
        </w:tc>
        <w:tc>
          <w:tcPr>
            <w:tcW w:w="844" w:type="dxa"/>
            <w:tcBorders>
              <w:top w:val="single" w:color="231F20" w:sz="6" w:space="0"/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23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施工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员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组织学习和实施相关的技术标准、规范和质量检验标准；2.全面负责施工和生产过程中安全、质量和进度等技术问题，协助加强项目的整体管理，组织制订工程建设计划；3.负责分项和关键工序的技术澄清，负责工序的技术协调，处理技术问题，监督整改措施的实施；4.主持制定安全技术措施，指导项目开展质量控制小组活动；5.指导、监督施工队的技术、质量、安全检查，组织隐蔽工程验收和分项工程验收，参加单位工程质量评价；6.负责项目技术资料和项目信息化管理，负责整理、处理竣工文件的归档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947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监理单位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参与编制监理规划，负责编制监理实施细则；2.检查进场的工程材料、构配件、设备的质量；3.验收检验、隐蔽工程、分项工程，参与验收分部工程；4.处置发现的质量问题和安全事故隐患；5.进行工程计量、参与工程变更的审查和处理；6.完成其范围内的检查、旁站、巡视、记录、汇报等工作，组织编写监理日志，参与编写监理月报；7.收集、汇总、参与整理监理文件资料；8.参与工程竣工预验收和竣工验收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845" w:type="dxa"/>
            <w:tcBorders>
              <w:left w:val="single" w:color="231F20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跟踪结算审核单位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6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1. 全过程跟踪审计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参与合同签订、施工、变更、验收、结算全流程监督。2. 专项资金与劳务报酬监管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监督项目资金拨付、使用、结算的合规性，防范资金浪费与违规支出。3. 工程建设与资料审计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核查工程建设内容、质量是否符合设计与规范要求，核验验收记录与检测报告。4. 问题处置与报告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发现虚构用工、虚假采购、违规变更等线索时，及时向项目主管部门（发改、财政）书面报告。5. 档案管理与配合监督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eastAsia="zh-CN"/>
              </w:rPr>
              <w:t>整理、归档审计全过程资料，确保审计痕迹可追溯。配合上级审计机关、纪检监察等部门的监督检查工作。</w:t>
            </w:r>
          </w:p>
        </w:tc>
        <w:tc>
          <w:tcPr>
            <w:tcW w:w="844" w:type="dxa"/>
            <w:tcBorders>
              <w:right w:val="single" w:color="231F2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snapToGrid/>
                <w:color w:val="0000FF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资质要求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。施工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技术员具备中级（含中级）以上职称、5年以上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工程施工经历；监理单位具备四级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工程监理资质，满足常驻一名监理工程师要求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；跟踪结算审核单位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乙级及以上的造价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。拟聘人员在相关行业内，近两年内无不良行为记录。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聘用流程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（1）发布公告。由项目理事会根据项目建设需要，拟定《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卢氏县木桐乡2026年中央财政以工代赈项目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施工技术人员聘用公告》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bookmarkStart w:id="4" w:name="OLE_LINK4"/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卢氏县木桐乡2026年中央财政以工代赈项目</w:t>
      </w:r>
      <w:bookmarkEnd w:id="4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监理公司招聘公告》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卢氏县木桐乡2026年中央财政以工代赈项目跟踪结算审核单位</w:t>
      </w:r>
      <w:r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招聘公告》，通过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官方门户网站、微信、抖音平台，村公告，村组干部、理事会成员、村群众对外宣传扩大知晓。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（2）自主报名。报名处为理事会材料服务采购组，具体负责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理事会材料服务采购组组长：</w:t>
      </w:r>
      <w:bookmarkStart w:id="5" w:name="OLE_LINK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曲根令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13253958708</w:t>
      </w:r>
      <w:bookmarkEnd w:id="5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（报名表见附件5）。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（3）资格审查。项目理事会依照聘用要求，制定技术服务选聘办法（见附件6），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按得分从高到低确定中标方，并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公示，接受监督，公示期5个工作日。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（4）签订合同。确定施工技术人员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后，签订合同。双方按照合同要求，尽职履职，迅速开展相关工作。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4.聘用费用标准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施工管理人员工资标准参照同类施工技术人员市场行情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8000元/月-12000元/月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参照政府性投资项目指导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价格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标准，价格范围为项目投资的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0.31%—2.36%（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均价1.32%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）；跟踪结算审核单位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参照政府性投资项目指导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价格标准，价格范围为项目投资的1%。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5.资料留存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聘用施工技术人员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跟踪结算审核单位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过程中，要注意资料保存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卢氏县木桐乡2026年中央财政以工代赈项目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施工技术人员聘用公告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卢氏县木桐乡2026年中央财政以工代赈项目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监理公司招聘公告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卢氏县木桐乡2026年中央财政以工代赈项目跟踪结算审核单位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招聘公告》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项目理事会、村三委审核、评定等过程的会议记录和照片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村民代表大会审议决定会议记录和照片、公示、报乡政府备案。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67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9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19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pacing w:val="19"/>
          <w:sz w:val="32"/>
          <w:szCs w:val="32"/>
        </w:rPr>
        <w:t>租购聘对象及条件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（一）机械（机具）租赁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1.机械类：由项目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理事会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提供协调场地、电力、用水。要求机械出租企业或个人，近三年无机械类安全事故发生，无债权债务纠纷，经营范围要满足项目施工对机械设备的要求；出租方必须配备机械操作手且机械操作人员要有相应的机械操作证，近三年无安全事故发生，无债权债务纠纷。在租用期间发生机械故障，由出租方负责维修维护，不能影响租赁方正常施工进度，报价低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2.机具类：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优先租赁村集体所有的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机具，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村集体没有的其他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机具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有相应的营业执照五金店（含个体经营部）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租赁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，有产品合格证，无债权债务纠纷。机具在近三年内无因质量问题导致的任何安全事故发生。在租用期间内，由出租方做好相关机具日常的维护保养，如出现无法修复的故障，由出租方重新提供机具。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3.中选供应商提供的机械及操作手必须购买安全意外保险。施工过程中发生的任何意外，由租赁方负责。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（二）材料供应商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1.主材类（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石块、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水泥、石子、细沙等）：销售单位（含个体经营部）要有相应的营业执照及供货能力，要有质量检测合格证、税票，无不良征信、民事纠纷等，综合报价低者优先考虑。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2.辅材类（模具、劳保用品等）及零星材料：销售单位（含个体经营部）要有相应的营业执照，要有质量检测合格证、税票，无不良征信、民事纠纷等，综合报价低者及项目所在村企业优先考虑。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：具有相应营业执照和资质，无不良征信情况，具有参与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市政施工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管理或监理经验的机构优先选用。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施工技术员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技术员具备中级（含中级）以上职称、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5年以上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具有相应业务能力，责任心强，能熟练操作电脑办公软件，无个人不良信用。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3.跟踪结算审核单位：确保以工代赈政策落实到位，真正发挥“赈”的作用，劳务报酬发放的真实性与及时性、困难群众吸纳比例、项目后期管护与效益发挥。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8"/>
        <w:textAlignment w:val="auto"/>
        <w:outlineLvl w:val="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5"/>
          <w:sz w:val="29"/>
          <w:szCs w:val="29"/>
        </w:rPr>
        <w:t>四</w:t>
      </w:r>
      <w:r>
        <w:rPr>
          <w:rFonts w:hint="eastAsia" w:ascii="Microsoft Yi Baiti" w:hAnsi="Microsoft Yi Baiti" w:eastAsia="仿宋_GB2312" w:cs="Microsoft Yi Baiti"/>
          <w:spacing w:val="15"/>
          <w:sz w:val="29"/>
          <w:szCs w:val="29"/>
          <w:lang w:eastAsia="zh-CN"/>
        </w:rPr>
        <w:t>、</w:t>
      </w:r>
      <w:r>
        <w:rPr>
          <w:rFonts w:ascii="黑体" w:hAnsi="黑体" w:eastAsia="黑体" w:cs="黑体"/>
          <w:spacing w:val="15"/>
          <w:sz w:val="29"/>
          <w:szCs w:val="29"/>
        </w:rPr>
        <w:t>询价对象数量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（一）租用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1.机械类：3家及以上的公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司（含个体经营部）或个人。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2.机具类：3家及以上的公司（含个体经营部）或个人。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1.主材类：3家及以上的公司（含个体经营部）或个人。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2.辅材类及零星材料：单项总金额1000元以上材料必须询价3家及以上的公司（含个体经营部）或个人，单项材料总价1000元以内含劳保用品就近购买、加工。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三）聘用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监理公司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3家及以上有资质的公司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施工技术员：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两委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和项目理事会通过会议确定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3.跟踪结算审核单位：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3家及以上有资质的公司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7"/>
          <w:sz w:val="32"/>
          <w:szCs w:val="32"/>
        </w:rPr>
        <w:t>五</w:t>
      </w:r>
      <w:r>
        <w:rPr>
          <w:rFonts w:hint="eastAsia" w:ascii="Microsoft Yi Baiti" w:hAnsi="Microsoft Yi Baiti" w:eastAsia="仿宋_GB2312" w:cs="Microsoft Yi Baiti"/>
          <w:spacing w:val="17"/>
          <w:sz w:val="32"/>
          <w:szCs w:val="32"/>
          <w:lang w:eastAsia="zh-CN"/>
        </w:rPr>
        <w:t>、</w:t>
      </w:r>
      <w:r>
        <w:rPr>
          <w:rFonts w:ascii="黑体" w:hAnsi="黑体" w:eastAsia="黑体" w:cs="黑体"/>
          <w:spacing w:val="17"/>
          <w:sz w:val="32"/>
          <w:szCs w:val="32"/>
        </w:rPr>
        <w:t>租购聘程序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（一）组建租购聘工作机构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1.询价工作小组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长：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杨长发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理事会理事长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副组长：李军魁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副理事长、拐峪村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支部副书记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成  员：曲根令、张强            （材料采购组）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刘智锋、刘俊萍、刘套成  （财务管理组）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陈章群 、王当文、李海瑞 （施工管理组）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张志勤、陈彦章          （物资保管组）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刘辉 、李小宝           （质量监督组）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梁建朝、陶红红、张云霞  （资料收集组）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租购聘询价工作小组负责开展主要原材料采购、材料运输、主要工程机械租赁、聘用专业技术人员（机构）的询价比价工作。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2.租购聘监督小组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组长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程志伟（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/>
        </w:rPr>
        <w:t>党委副书记、乡长）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成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员：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贾丙寅（党委委员、副镇长、宣传委员）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杨  楠（副乡长、</w:t>
      </w:r>
      <w:bookmarkStart w:id="6" w:name="OLE_LINK7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张家村</w:t>
      </w:r>
      <w:bookmarkEnd w:id="6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包村领导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李军金（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</w:t>
      </w:r>
      <w:bookmarkStart w:id="7" w:name="OLE_LINK1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</w:t>
      </w:r>
      <w:bookmarkEnd w:id="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副书记、政法委员）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雷晓雪（平安建设办主任、</w:t>
      </w:r>
      <w:bookmarkStart w:id="8" w:name="OLE_LINK8"/>
      <w:bookmarkStart w:id="9" w:name="OLE_LINK6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拐峪村</w:t>
      </w:r>
      <w:bookmarkEnd w:id="8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包村领导</w:t>
      </w:r>
      <w:bookmarkEnd w:id="9"/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 森（党委委员、纪委书记）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锐（财政所所长）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李腾坤（公共服务办公室主任、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张家村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包村</w:t>
      </w:r>
      <w:bookmarkStart w:id="10" w:name="OLE_LINK9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站</w:t>
      </w:r>
      <w:bookmarkEnd w:id="1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  磊（乡村建设办主任、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拐峪村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包村站办主任）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薛彦涛（拐峪村党支部书记）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李小宝（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拐峪村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监委会主任）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4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监督小组负责对租购聘工作进行全面监督，村监委会主任参与询价过程进行监督。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（二）确定询价对象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询价工作小组根据审定的租购聘方案，在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政府门户网站、乡政务公开栏、村务公开栏发布询价比价公告，公告公示时间不少于5个工作日。按照本村、本乡优先的原则，从符合要求的供应商或个人（机构）中选取三家（人）及以上作为询价对象。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（三）询价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询价工作小组根据审定的租购聘方案，采取书面询价或者电话询价方式，明确询价内容、数量、条件要求、报价方式、结果评定办法等内容，做好询价记录。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需要询价的主材可参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照卢氏县财政评审中心的给定价或县级建材供应商价格（市场价），但不能超过财评单价。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（四）比价及对象确定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1.结果评定办法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租购聘采取综合评分法，根据“货比三家、比质比价、择优选购（租、聘）”的原则，综合比较确定成交租购聘对象，比价小组成员共同讨论打分，按最终得分从高到低顺序确定建议中选对象。具体询比价评分标准依据商品（服务）报价、质量、付款方式、公司资质、人员职称及经验等合理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19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2.比价及对象确定程序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村“两委”和项目理事会成员召开会议，询比工作小组介绍询比价评分标准及综合得分情况，提出“租购聘”对象评比排序名单。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项目领导小组组织乡、村相关人员召开专题会议，听取询比工作组汇报，综合考虑“租购聘”对象评比排序名单和是否有利于基层治理的两方面因素，经参会人员充分讨论，提出“租购聘”建议对象。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村党支部（村委）召开村民代表大会，采取举手表决方式民主确定“租购聘”对象，乡项目负责人、乡纪委同志、项目理事会理事长列席会议。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表决通过的“租购聘”对象及相关内容及时在乡、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公开栏进行公示，公示时间不少于5个工作日，主要包括：租购聘对象、内容、单价、规格、举报电话、联系人等。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（五）合同签订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公示期满无异议后，村委会与“租购聘”对象签订正式合同，并按合同约定开展下步工作。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未纳入询价比价范围的其他建设工程必不可少的零星材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料和</w:t>
      </w:r>
      <w:r>
        <w:rPr>
          <w:rFonts w:hint="eastAsia" w:ascii="仿宋_GB2312" w:hAnsi="仿宋_GB2312" w:eastAsia="仿宋_GB2312" w:cs="仿宋_GB2312"/>
          <w:sz w:val="32"/>
          <w:szCs w:val="32"/>
        </w:rPr>
        <w:t>低值易耗品，以及不可预见费用，采取村民代表讨论并举手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表决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，由采购小组在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村监委会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监督下采购。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七、工作纪律要求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村组干部、驻村工作队成员、理事会成员直系亲属不得参与报名。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询价比价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由理事会主持，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询价工作小组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确定为5人，从村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“三委”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、理事会和群众代表中随机确定，邀请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纪委现场监督，其他人员不得插手、干预评标活动。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卢氏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木桐乡张家村、拐峪村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C6B14-36DB-44D0-B399-050C9AD75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DA8E41-29F4-4C63-B05E-E7452ADBE473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00829DD9-33EE-4ED5-9211-96FD951363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6E342F-96B5-4DF7-B636-52C5106CC0B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074FAF-6313-464B-BE71-D77172E30B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FD99AAB-1AE5-4931-9F08-3639228ED8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737657D-1336-4FEB-97A3-DDAA392E206D}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  <w:embedRegular r:id="rId8" w:fontKey="{4048A83F-DC77-41EE-9D2F-DD870B5665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AB629"/>
    <w:multiLevelType w:val="singleLevel"/>
    <w:tmpl w:val="E82AB6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7D58"/>
    <w:rsid w:val="03D270B5"/>
    <w:rsid w:val="093D1475"/>
    <w:rsid w:val="0B1458FF"/>
    <w:rsid w:val="0C247732"/>
    <w:rsid w:val="0D626214"/>
    <w:rsid w:val="1B6D5BEA"/>
    <w:rsid w:val="1B9C027D"/>
    <w:rsid w:val="1E0A5972"/>
    <w:rsid w:val="1F773755"/>
    <w:rsid w:val="20F67B06"/>
    <w:rsid w:val="224F1BA5"/>
    <w:rsid w:val="2CE51A84"/>
    <w:rsid w:val="2D3146A2"/>
    <w:rsid w:val="2DFB12E3"/>
    <w:rsid w:val="332A4581"/>
    <w:rsid w:val="34B32468"/>
    <w:rsid w:val="3546350D"/>
    <w:rsid w:val="37A83DDA"/>
    <w:rsid w:val="39AE76A2"/>
    <w:rsid w:val="39FA5308"/>
    <w:rsid w:val="3AB879A0"/>
    <w:rsid w:val="3B4E0D74"/>
    <w:rsid w:val="3FC74D01"/>
    <w:rsid w:val="41E9647B"/>
    <w:rsid w:val="42D068DB"/>
    <w:rsid w:val="45943BEF"/>
    <w:rsid w:val="4714323A"/>
    <w:rsid w:val="478A0E65"/>
    <w:rsid w:val="4AC32E1C"/>
    <w:rsid w:val="525079E7"/>
    <w:rsid w:val="5474356A"/>
    <w:rsid w:val="552147AE"/>
    <w:rsid w:val="55D609A6"/>
    <w:rsid w:val="562E103C"/>
    <w:rsid w:val="5ED15115"/>
    <w:rsid w:val="62600C89"/>
    <w:rsid w:val="62A1295C"/>
    <w:rsid w:val="66361F64"/>
    <w:rsid w:val="671251DD"/>
    <w:rsid w:val="67F02AB0"/>
    <w:rsid w:val="6B4F0952"/>
    <w:rsid w:val="6BF6440D"/>
    <w:rsid w:val="6EC633C8"/>
    <w:rsid w:val="6EF6600D"/>
    <w:rsid w:val="6F377216"/>
    <w:rsid w:val="76257DC8"/>
    <w:rsid w:val="7F3E1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5014</Words>
  <Characters>5221</Characters>
  <Lines>0</Lines>
  <Paragraphs>0</Paragraphs>
  <TotalTime>34</TotalTime>
  <ScaleCrop>false</ScaleCrop>
  <LinksUpToDate>false</LinksUpToDate>
  <CharactersWithSpaces>5309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2026-03-25T08:14:00Z</dcterms:created>
  <dc:creator>Administrator</dc:creator>
  <cp:lastModifiedBy>Greatwall</cp:lastModifiedBy>
  <dcterms:modified xsi:type="dcterms:W3CDTF">2026-04-01T09:07:50Z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eyJoZGlkIjoiMDg2M2NhMjdlMjYwODQwNTcyYTM5NGM3OTk5N2RjMzIiLCJ1c2VySWQiOiIzMTg4NzU0ODkifQ==</vt:lpwstr>
  </property>
  <property fmtid="{D5CDD505-2E9C-101B-9397-08002B2CF9AE}" pid="4" name="ICV">
    <vt:lpwstr>A85A6ACC308744209480D7404487EBE7_13</vt:lpwstr>
  </property>
</Properties>
</file>