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卢氏县烟草专卖局</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2025年</w:t>
      </w:r>
      <w:r>
        <w:rPr>
          <w:rFonts w:hint="eastAsia" w:ascii="方正小标宋简体" w:hAnsi="方正小标宋简体" w:eastAsia="方正小标宋简体" w:cs="方正小标宋简体"/>
          <w:b w:val="0"/>
          <w:bCs/>
          <w:sz w:val="44"/>
          <w:szCs w:val="44"/>
          <w:lang w:eastAsia="zh-CN"/>
        </w:rPr>
        <w:t>度</w:t>
      </w:r>
      <w:r>
        <w:rPr>
          <w:rFonts w:hint="eastAsia" w:ascii="方正小标宋简体" w:hAnsi="方正小标宋简体" w:eastAsia="方正小标宋简体" w:cs="方正小标宋简体"/>
          <w:b w:val="0"/>
          <w:bCs/>
          <w:sz w:val="44"/>
          <w:szCs w:val="44"/>
        </w:rPr>
        <w:t>法治政府建设</w:t>
      </w:r>
      <w:r>
        <w:rPr>
          <w:rFonts w:hint="eastAsia" w:ascii="方正小标宋简体" w:hAnsi="方正小标宋简体" w:eastAsia="方正小标宋简体" w:cs="方正小标宋简体"/>
          <w:b w:val="0"/>
          <w:bCs/>
          <w:sz w:val="44"/>
          <w:szCs w:val="44"/>
          <w:lang w:eastAsia="zh-CN"/>
        </w:rPr>
        <w:t>情况</w:t>
      </w:r>
      <w:bookmarkStart w:id="5" w:name="_GoBack"/>
      <w:bookmarkEnd w:id="5"/>
      <w:r>
        <w:rPr>
          <w:rFonts w:hint="eastAsia" w:ascii="方正小标宋简体" w:hAnsi="方正小标宋简体" w:eastAsia="方正小标宋简体" w:cs="方正小标宋简体"/>
          <w:b w:val="0"/>
          <w:bCs/>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，卢氏县烟草专卖局</w:t>
      </w:r>
      <w:r>
        <w:rPr>
          <w:rFonts w:hint="eastAsia" w:ascii="仿宋_GB2312" w:hAnsi="仿宋_GB2312" w:eastAsia="仿宋_GB2312" w:cs="仿宋_GB2312"/>
          <w:sz w:val="32"/>
          <w:szCs w:val="32"/>
        </w:rPr>
        <w:t>在县委、县政府和上级烟草专卖</w:t>
      </w:r>
      <w:r>
        <w:rPr>
          <w:rFonts w:hint="eastAsia" w:ascii="仿宋_GB2312" w:hAnsi="仿宋_GB2312" w:eastAsia="仿宋_GB2312" w:cs="仿宋_GB2312"/>
          <w:sz w:val="32"/>
          <w:szCs w:val="32"/>
          <w:lang w:val="en-US" w:eastAsia="zh-CN"/>
        </w:rPr>
        <w:t>行政主管部门</w:t>
      </w:r>
      <w:r>
        <w:rPr>
          <w:rFonts w:hint="eastAsia" w:ascii="仿宋_GB2312" w:hAnsi="仿宋_GB2312" w:eastAsia="仿宋_GB2312" w:cs="仿宋_GB2312"/>
          <w:sz w:val="32"/>
          <w:szCs w:val="32"/>
        </w:rPr>
        <w:t>的坚强领导下，深入学习贯彻习近平法治思想，紧扣法治政府建设部署要求，依法履行行政职能，规范行政执法</w:t>
      </w:r>
      <w:r>
        <w:rPr>
          <w:rFonts w:hint="eastAsia" w:ascii="仿宋_GB2312" w:hAnsi="仿宋_GB2312" w:cs="仿宋_GB2312"/>
          <w:sz w:val="32"/>
          <w:szCs w:val="32"/>
          <w:lang w:val="en-US" w:eastAsia="zh-CN"/>
        </w:rPr>
        <w:t>行为</w:t>
      </w:r>
      <w:r>
        <w:rPr>
          <w:rFonts w:hint="eastAsia" w:ascii="仿宋_GB2312" w:hAnsi="仿宋_GB2312" w:eastAsia="仿宋_GB2312" w:cs="仿宋_GB2312"/>
          <w:sz w:val="32"/>
          <w:szCs w:val="32"/>
        </w:rPr>
        <w:t>，强化法治宣传教育，切实筑牢法治建设根基。现将</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年度法治政府建设工作情况报告如下：</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outlineLvl w:val="1"/>
      </w:pPr>
      <w:bookmarkStart w:id="0" w:name="heading_0"/>
      <w:r>
        <w:rPr>
          <w:rFonts w:hint="eastAsia" w:ascii="黑体" w:hAnsi="黑体" w:eastAsia="黑体" w:cs="黑体"/>
          <w:b w:val="0"/>
          <w:bCs/>
          <w:sz w:val="32"/>
        </w:rPr>
        <w:t>一、提高政治站位，强化法治建设引领</w:t>
      </w:r>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仿宋_GB2312" w:hAnsi="仿宋_GB2312" w:eastAsia="仿宋_GB2312" w:cs="仿宋_GB2312"/>
          <w:sz w:val="32"/>
          <w:szCs w:val="32"/>
        </w:rPr>
        <w:t>始终把党的领导贯穿法治政府建设全过程、各方面，以高度的政治自觉、思想自觉和行动自觉，推动法治建设各项工作落地见效。</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强化政治引领，筑牢思想根基。</w:t>
      </w:r>
      <w:r>
        <w:rPr>
          <w:rFonts w:hint="eastAsia" w:ascii="仿宋_GB2312" w:hAnsi="仿宋_GB2312" w:eastAsia="仿宋_GB2312" w:cs="仿宋_GB2312"/>
          <w:sz w:val="32"/>
          <w:szCs w:val="32"/>
        </w:rPr>
        <w:t>坚持把学习贯彻习近平法治思想作为首要政治任务，建立“党组领学、支部研学、全员普学”三级学习机制，将习近平法治思想、党的二十大及二十届历次全会关于全面依法治国的重要论述纳入党组理论学习中心组学习、支部“三会一课”和主题党日活动，组织专题研讨，引导全体干部职工深刻领悟法治建设的政治内涵，切实把学习成果转化为依法履职的实际行动。严格落实“第一责任人”职责，局主要负责人牵头研究法治政府建设重大问题、部署重点工作，全年召开专题党组会议研究法治建设工作3次，确保法治建设与烟草专卖管理、企业经营发展</w:t>
      </w:r>
      <w:r>
        <w:rPr>
          <w:rFonts w:hint="eastAsia" w:ascii="仿宋_GB2312" w:hAnsi="仿宋_GB2312" w:cs="仿宋_GB2312"/>
          <w:sz w:val="32"/>
          <w:szCs w:val="32"/>
          <w:lang w:eastAsia="zh-CN"/>
        </w:rPr>
        <w:t>同谋划、同部署、同推进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健全工作体系，压实建设责任。</w:t>
      </w:r>
      <w:r>
        <w:rPr>
          <w:rFonts w:hint="eastAsia" w:ascii="仿宋_GB2312" w:hAnsi="仿宋_GB2312" w:cs="仿宋_GB2312"/>
          <w:sz w:val="32"/>
          <w:szCs w:val="32"/>
          <w:lang w:val="en-US" w:eastAsia="zh-CN"/>
        </w:rPr>
        <w:t>积极发挥法治烟草</w:t>
      </w:r>
      <w:r>
        <w:rPr>
          <w:rFonts w:hint="eastAsia" w:ascii="仿宋_GB2312" w:hAnsi="仿宋_GB2312" w:eastAsia="仿宋_GB2312" w:cs="仿宋_GB2312"/>
          <w:sz w:val="32"/>
          <w:szCs w:val="32"/>
        </w:rPr>
        <w:t>建设工作领导小组</w:t>
      </w:r>
      <w:r>
        <w:rPr>
          <w:rFonts w:hint="eastAsia" w:ascii="仿宋_GB2312" w:hAnsi="仿宋_GB2312" w:cs="仿宋_GB2312"/>
          <w:sz w:val="32"/>
          <w:szCs w:val="32"/>
          <w:lang w:val="en-US" w:eastAsia="zh-CN"/>
        </w:rPr>
        <w:t>协调统筹作用</w:t>
      </w:r>
      <w:r>
        <w:rPr>
          <w:rFonts w:hint="eastAsia" w:ascii="仿宋_GB2312" w:hAnsi="仿宋_GB2312" w:eastAsia="仿宋_GB2312" w:cs="仿宋_GB2312"/>
          <w:sz w:val="32"/>
          <w:szCs w:val="32"/>
        </w:rPr>
        <w:t>，明确</w:t>
      </w:r>
      <w:r>
        <w:rPr>
          <w:rFonts w:hint="eastAsia" w:ascii="仿宋_GB2312" w:hAnsi="仿宋_GB2312" w:cs="仿宋_GB2312"/>
          <w:sz w:val="32"/>
          <w:szCs w:val="32"/>
          <w:lang w:val="en-US" w:eastAsia="zh-CN"/>
        </w:rPr>
        <w:t>主要负责人负</w:t>
      </w:r>
      <w:r>
        <w:rPr>
          <w:rFonts w:hint="eastAsia" w:ascii="仿宋_GB2312" w:hAnsi="仿宋_GB2312" w:eastAsia="仿宋_GB2312" w:cs="仿宋_GB2312"/>
          <w:sz w:val="32"/>
          <w:szCs w:val="32"/>
        </w:rPr>
        <w:t>第一责任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分管领导</w:t>
      </w:r>
      <w:r>
        <w:rPr>
          <w:rFonts w:hint="eastAsia" w:ascii="仿宋_GB2312" w:hAnsi="仿宋_GB2312" w:cs="仿宋_GB2312"/>
          <w:sz w:val="32"/>
          <w:szCs w:val="32"/>
          <w:lang w:val="en-US" w:eastAsia="zh-CN"/>
        </w:rPr>
        <w:t>负</w:t>
      </w:r>
      <w:r>
        <w:rPr>
          <w:rFonts w:hint="eastAsia" w:ascii="仿宋_GB2312" w:hAnsi="仿宋_GB2312" w:eastAsia="仿宋_GB2312" w:cs="仿宋_GB2312"/>
          <w:sz w:val="32"/>
          <w:szCs w:val="32"/>
        </w:rPr>
        <w:t>直接责任</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各单位（部门）</w:t>
      </w:r>
      <w:r>
        <w:rPr>
          <w:rFonts w:hint="eastAsia" w:ascii="仿宋_GB2312" w:hAnsi="仿宋_GB2312" w:eastAsia="仿宋_GB2312" w:cs="仿宋_GB2312"/>
          <w:sz w:val="32"/>
          <w:szCs w:val="32"/>
        </w:rPr>
        <w:t>负责人</w:t>
      </w:r>
      <w:r>
        <w:rPr>
          <w:rFonts w:hint="eastAsia" w:ascii="仿宋_GB2312" w:hAnsi="仿宋_GB2312" w:cs="仿宋_GB2312"/>
          <w:sz w:val="32"/>
          <w:szCs w:val="32"/>
          <w:lang w:val="en-US" w:eastAsia="zh-CN"/>
        </w:rPr>
        <w:t>负</w:t>
      </w:r>
      <w:r>
        <w:rPr>
          <w:rFonts w:hint="eastAsia" w:ascii="仿宋_GB2312" w:hAnsi="仿宋_GB2312" w:eastAsia="仿宋_GB2312" w:cs="仿宋_GB2312"/>
          <w:sz w:val="32"/>
          <w:szCs w:val="32"/>
        </w:rPr>
        <w:t>具体责任的责任体系，形成“党组领导、部门协同、全员参与”的工作格局。</w:t>
      </w:r>
      <w:r>
        <w:rPr>
          <w:rFonts w:hint="eastAsia" w:ascii="仿宋_GB2312" w:hAnsi="仿宋_GB2312" w:cs="仿宋_GB2312"/>
          <w:sz w:val="32"/>
          <w:szCs w:val="32"/>
          <w:lang w:val="en-US" w:eastAsia="zh-CN"/>
        </w:rPr>
        <w:t>印发</w:t>
      </w:r>
      <w:r>
        <w:rPr>
          <w:rFonts w:hint="eastAsia" w:ascii="仿宋_GB2312" w:hAnsi="仿宋_GB2312" w:eastAsia="仿宋_GB2312" w:cs="仿宋_GB2312"/>
          <w:sz w:val="32"/>
          <w:szCs w:val="32"/>
        </w:rPr>
        <w:t>《2025年法规工作要点》，细化</w:t>
      </w:r>
      <w:r>
        <w:rPr>
          <w:rFonts w:hint="eastAsia" w:ascii="仿宋_GB2312" w:hAnsi="仿宋_GB2312" w:cs="仿宋_GB2312"/>
          <w:sz w:val="32"/>
          <w:szCs w:val="32"/>
          <w:lang w:val="en-US" w:eastAsia="zh-CN"/>
        </w:rPr>
        <w:t>工作任</w:t>
      </w:r>
      <w:r>
        <w:rPr>
          <w:rFonts w:hint="eastAsia" w:ascii="仿宋_GB2312" w:hAnsi="仿宋_GB2312" w:eastAsia="仿宋_GB2312" w:cs="仿宋_GB2312"/>
          <w:sz w:val="32"/>
          <w:szCs w:val="32"/>
        </w:rPr>
        <w:t>务，明确责任分工、时间节点和工作标准，将法治建设成效纳入绩效考核和干部述职评议内容，确保责任层层传导、落实到位。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强化队伍建设，提升法治素养。</w:t>
      </w:r>
      <w:r>
        <w:rPr>
          <w:rFonts w:hint="eastAsia" w:ascii="仿宋_GB2312" w:hAnsi="仿宋_GB2312" w:eastAsia="仿宋_GB2312" w:cs="仿宋_GB2312"/>
          <w:sz w:val="32"/>
          <w:szCs w:val="32"/>
        </w:rPr>
        <w:t>加强法治工作队伍专业化建设，配备</w:t>
      </w:r>
      <w:r>
        <w:rPr>
          <w:rFonts w:hint="eastAsia" w:ascii="仿宋_GB2312" w:hAnsi="仿宋_GB2312" w:cs="仿宋_GB2312"/>
          <w:sz w:val="32"/>
          <w:szCs w:val="32"/>
          <w:lang w:val="en-US" w:eastAsia="zh-CN"/>
        </w:rPr>
        <w:t>具有法律职业资格证的</w:t>
      </w:r>
      <w:r>
        <w:rPr>
          <w:rFonts w:hint="eastAsia" w:ascii="仿宋_GB2312" w:hAnsi="仿宋_GB2312" w:eastAsia="仿宋_GB2312" w:cs="仿宋_GB2312"/>
          <w:sz w:val="32"/>
          <w:szCs w:val="32"/>
        </w:rPr>
        <w:t>专职法治工作人员1名，聘请专业律师担任法律顾问，参与重大决策论证、执法案件审核、普法宣传等工作。组织干部职工开展法律法规培训</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次，重点学习《行政处罚法》《烟草专卖法》及其实施条例等法律法规，组织参与全国烟草管理法律法规知识竞赛，切实提升干部职工法治意识和依法履职能力。</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outlineLvl w:val="1"/>
      </w:pPr>
      <w:bookmarkStart w:id="1" w:name="heading_1"/>
      <w:r>
        <w:rPr>
          <w:rFonts w:hint="eastAsia" w:ascii="黑体" w:hAnsi="黑体" w:eastAsia="黑体" w:cs="黑体"/>
          <w:b w:val="0"/>
          <w:bCs/>
          <w:sz w:val="32"/>
        </w:rPr>
        <w:t>二、规范权力运行，提升依法行政效能</w:t>
      </w:r>
      <w:bookmarkEnd w:id="1"/>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仿宋_GB2312" w:hAnsi="仿宋_GB2312" w:eastAsia="仿宋_GB2312" w:cs="仿宋_GB2312"/>
          <w:sz w:val="32"/>
          <w:szCs w:val="32"/>
        </w:rPr>
        <w:t>严格按照法治政府建设要求，规范行政决策、行政许可、行政执法等权力运行，不断提升依法行政规范化、标准化水平。</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规范行政决策流程</w:t>
      </w:r>
      <w:r>
        <w:rPr>
          <w:rFonts w:hint="eastAsia" w:ascii="仿宋_GB2312" w:hAnsi="仿宋_GB2312" w:eastAsia="仿宋_GB2312" w:cs="仿宋_GB2312"/>
          <w:sz w:val="32"/>
          <w:szCs w:val="32"/>
        </w:rPr>
        <w:t>。严格执行重大行政决策程序，健全“事前论证、事中审核、事后评估”全流程审查机制，对涉及专卖管理、市场监管、重大项目建设、大额资金使用等“三重一大”事项，履行风险评估、合法性审查和集体讨论等法定程序，确保决策科学民主、合法合规。</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优化政务服务水平。</w:t>
      </w:r>
      <w:r>
        <w:rPr>
          <w:rFonts w:hint="eastAsia" w:ascii="仿宋_GB2312" w:hAnsi="仿宋_GB2312" w:eastAsia="仿宋_GB2312" w:cs="仿宋_GB2312"/>
          <w:sz w:val="32"/>
          <w:szCs w:val="32"/>
        </w:rPr>
        <w:t>严格落实政务公开要求，坚持“应公开、尽公开、真公开”原则，提升工作透明度。全面落实证明事项告知承诺制，减少企业和群众办事成本，切实提升政务服务便捷度。优化烟草专卖零售许可证办理流程，简化办理环节、压缩办理时限，全年办理许可证新办、变更、延续等事项1044件，新办26户。</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严格规范行政执法。</w:t>
      </w:r>
      <w:r>
        <w:rPr>
          <w:rFonts w:hint="eastAsia" w:ascii="仿宋_GB2312" w:hAnsi="仿宋_GB2312" w:eastAsia="仿宋_GB2312" w:cs="仿宋_GB2312"/>
          <w:sz w:val="32"/>
          <w:szCs w:val="32"/>
        </w:rPr>
        <w:t>聚焦全链条打击涉烟违法活动，贯彻落实国务院办公厅《关于全链条打击涉烟违法活动的意见》，坚持“打治并重、点面结合”，构建“海上查、陆上堵、市场管”三道立体防线，深化与公安、市监、邮政等部门协同联动，开展打击寄递渠道涉烟违法、非法提取烟碱等专项行动4次，以“查案件、强监管、提效能”为主线，控市净市效能不断凸显。加大制售假转移、非法经营烟叶烟丝、空管烟、“上头电子烟”等违法犯罪活动打击力度，主动对接公检法，建立协作机制，定期召开研判会，打假破网取得新突破。“10.10”销售假烟网络案被国家局评为三级重大网络案件；“07.10”小阿妹销售伪劣卷烟案涉案金额5000余万元，抓获嫌疑人7人，刑拘7人。强化烟叶全周期监管，查处非法运输烟叶31车43.2吨，销毁废弃烟叶2.257吨。发挥“四员智联”系统“探头”作用，做好警示教育、调研走访、联防联控、督导考核四个“常态化”，传递异常线索213条，动态监管异常商户58户，注销问题商户27户，真烟外流流销比考核全市第一。动态调整单元格容量，零售户数量合理、布局更优。强化执法监督制约。建立健全行政执法监督机制，制定执法监督计划，按季度开展执法监督检查，</w:t>
      </w:r>
      <w:r>
        <w:rPr>
          <w:rFonts w:hint="eastAsia" w:ascii="仿宋_GB2312" w:hAnsi="仿宋_GB2312" w:cs="仿宋_GB2312"/>
          <w:sz w:val="32"/>
          <w:szCs w:val="32"/>
          <w:lang w:val="en-US" w:eastAsia="zh-CN"/>
        </w:rPr>
        <w:t>开展</w:t>
      </w:r>
      <w:r>
        <w:rPr>
          <w:rFonts w:hint="eastAsia" w:ascii="仿宋_GB2312" w:hAnsi="仿宋_GB2312" w:eastAsia="仿宋_GB2312" w:cs="仿宋_GB2312"/>
          <w:sz w:val="32"/>
          <w:szCs w:val="32"/>
        </w:rPr>
        <w:t>行政执法案卷评查，推动执法规范化水平和文书质量持续提高。</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outlineLvl w:val="1"/>
      </w:pPr>
      <w:bookmarkStart w:id="2" w:name="heading_2"/>
      <w:r>
        <w:rPr>
          <w:rFonts w:hint="eastAsia" w:ascii="黑体" w:hAnsi="黑体" w:eastAsia="黑体" w:cs="黑体"/>
          <w:b w:val="0"/>
          <w:bCs/>
          <w:sz w:val="32"/>
        </w:rPr>
        <w:t>三、深化普法宣传，营造良好法治氛围</w:t>
      </w:r>
      <w:bookmarkEnd w:id="2"/>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仿宋_GB2312" w:hAnsi="仿宋_GB2312" w:eastAsia="仿宋_GB2312" w:cs="仿宋_GB2312"/>
          <w:sz w:val="32"/>
          <w:szCs w:val="32"/>
        </w:rPr>
        <w:t>坚持“谁执法谁普法”“谁服务谁普法”原则，创新普法形式、拓展普法阵地，构建多维度、全覆盖的普法宣传体系，推动烟草专卖法律法规深入人心。</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构建普法矩阵。</w:t>
      </w:r>
      <w:r>
        <w:rPr>
          <w:rFonts w:hint="eastAsia" w:ascii="仿宋_GB2312" w:hAnsi="仿宋_GB2312" w:eastAsia="仿宋_GB2312" w:cs="仿宋_GB2312"/>
          <w:sz w:val="32"/>
          <w:szCs w:val="32"/>
        </w:rPr>
        <w:t>聚焦“进机关、进乡村、进社区、进学校、进企业、进单位、进网络、进家庭”，结合不同群体需求，定制个性化普法内容。依托“诚信互助小组”开展“点单式”普法服务；针对青少年，在校园周边设立“护苗普法岗”，开展“无烟校园”法治宣传活动2场；针对零售户和消费者，在“3·15”“宪法宣传周”等重要时间节点，开展广场宣传、法律咨询等活动，通过实物对比教群众识假辨假，详细解读举报奖励政策。</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创新普法宣传形式。</w:t>
      </w:r>
      <w:r>
        <w:rPr>
          <w:rFonts w:hint="eastAsia" w:ascii="仿宋_GB2312" w:hAnsi="仿宋_GB2312" w:eastAsia="仿宋_GB2312" w:cs="仿宋_GB2312"/>
          <w:sz w:val="32"/>
          <w:szCs w:val="32"/>
        </w:rPr>
        <w:t>组织开展“法治进店铺”活动，专卖人员、客户经理在市场走访时“送法上门”，案件查办时“以案释法”，把每一次执法互动都变成一堂生动的法治公开课。</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强化重点群体普法。</w:t>
      </w:r>
      <w:r>
        <w:rPr>
          <w:rFonts w:hint="eastAsia" w:ascii="仿宋_GB2312" w:hAnsi="仿宋_GB2312" w:eastAsia="仿宋_GB2312" w:cs="仿宋_GB2312"/>
          <w:sz w:val="32"/>
          <w:szCs w:val="32"/>
        </w:rPr>
        <w:t>重点加强对专卖执法人员、零售户和青少年的普法教育。对执法人员，开展行政执法实务培训和业务练兵，提升依法执法、规范执法能力；对零售户，开展烟草专卖法律法规专题培训</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次，引导零售户守法诚信经营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对青少年，深入中小学校开展“守护成长”普法活动，增强青少年法治意识和自我保护能力。</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outlineLvl w:val="1"/>
      </w:pPr>
      <w:bookmarkStart w:id="3" w:name="heading_3"/>
      <w:r>
        <w:rPr>
          <w:rFonts w:hint="eastAsia" w:ascii="黑体" w:hAnsi="黑体" w:eastAsia="黑体" w:cs="黑体"/>
          <w:b w:val="0"/>
          <w:bCs/>
          <w:sz w:val="32"/>
        </w:rPr>
        <w:t>四、</w:t>
      </w:r>
      <w:bookmarkEnd w:id="3"/>
      <w:bookmarkStart w:id="4" w:name="heading_5"/>
      <w:r>
        <w:rPr>
          <w:rFonts w:hint="eastAsia" w:ascii="黑体" w:hAnsi="黑体" w:eastAsia="黑体" w:cs="黑体"/>
          <w:b w:val="0"/>
          <w:bCs/>
          <w:sz w:val="32"/>
        </w:rPr>
        <w:t>2026年度工作计划</w:t>
      </w:r>
      <w:bookmarkEnd w:id="4"/>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eastAsia="zh-CN"/>
        </w:rPr>
        <w:t>卢氏县烟草专卖局</w:t>
      </w:r>
      <w:r>
        <w:rPr>
          <w:rFonts w:hint="eastAsia" w:ascii="仿宋_GB2312" w:hAnsi="仿宋_GB2312" w:eastAsia="仿宋_GB2312" w:cs="仿宋_GB2312"/>
          <w:sz w:val="32"/>
          <w:szCs w:val="32"/>
        </w:rPr>
        <w:t>将以问题为导向，抓实“打、管、防、服”四个重点，织密监管网络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构建全方位、立体化专卖管理服务体系，为两烟市场经营保驾护航</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重点抓好以下三个方面工作：</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“打假破网、重拳出击”。</w:t>
      </w:r>
      <w:r>
        <w:rPr>
          <w:rFonts w:hint="eastAsia" w:ascii="仿宋_GB2312" w:hAnsi="仿宋_GB2312" w:eastAsia="仿宋_GB2312" w:cs="仿宋_GB2312"/>
          <w:sz w:val="32"/>
          <w:szCs w:val="32"/>
        </w:rPr>
        <w:t>加强与公安、市场监管、交通等部门协同联动，积极对接毗邻地区专卖部门，加强信息共享与联合执法，深挖制假售假网络链条，做到发现一起、查处一起、震慑一片，坚决维护市场纯净度。</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“管住商户，掌控市场”。</w:t>
      </w:r>
      <w:r>
        <w:rPr>
          <w:rFonts w:hint="eastAsia" w:ascii="仿宋_GB2312" w:hAnsi="仿宋_GB2312" w:eastAsia="仿宋_GB2312" w:cs="仿宋_GB2312"/>
          <w:sz w:val="32"/>
          <w:szCs w:val="32"/>
        </w:rPr>
        <w:t>学好用好《国务院办公厅关于全链条打击涉烟违法活动的意见》《河南省烟草专卖管理条例》等法律法规，紧盯涉烟违法行为新变化、新特点、新趋势，健全常态化监管机制，优化监管网格布局，持续掌控市场，规范经营主体行为。同时运用好数字化监管手段，提升监管精准度和效率。“防范外流，精准发力”。持续落实好净市场调状态维护好形象三年实施方案有关要求，发挥“四员联动”机制作用，强化源头管控与流程监管，加强市场状态分析与外流风险预警，提高异常信息查处的主动性、针对性，提高源头管控能力。</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“管服并重，优服增效”。</w:t>
      </w:r>
      <w:r>
        <w:rPr>
          <w:rFonts w:hint="eastAsia" w:ascii="仿宋_GB2312" w:hAnsi="仿宋_GB2312" w:eastAsia="仿宋_GB2312" w:cs="仿宋_GB2312"/>
          <w:sz w:val="32"/>
          <w:szCs w:val="32"/>
        </w:rPr>
        <w:t>要将执法工作与服务商户相结合，在管理过程中现场“把脉问诊”，加强法律政策宣传和指导，帮助商户提升规范经营意识，破解经营难点堵点。把握好许可证合理布局要求与群众办证需求的平衡点，深入推进“互联网+政务服务”，开展“前置服务+一对一指导”，确保办证从简、监管从严、服务从优。</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5056" w:firstLineChars="16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卢氏县烟草专卖局</w:t>
      </w:r>
    </w:p>
    <w:p>
      <w:pPr>
        <w:keepNext w:val="0"/>
        <w:keepLines w:val="0"/>
        <w:pageBreakBefore w:val="0"/>
        <w:widowControl w:val="0"/>
        <w:kinsoku/>
        <w:wordWrap/>
        <w:overflowPunct/>
        <w:topLinePunct w:val="0"/>
        <w:autoSpaceDE/>
        <w:autoSpaceDN/>
        <w:bidi w:val="0"/>
        <w:adjustRightInd/>
        <w:snapToGrid/>
        <w:spacing w:line="560" w:lineRule="exact"/>
        <w:ind w:left="0" w:firstLine="5056" w:firstLineChars="1600"/>
        <w:jc w:val="both"/>
        <w:textAlignment w:val="auto"/>
        <w:rPr>
          <w:rFonts w:hint="default" w:eastAsia="仿宋_GB2312"/>
          <w:lang w:val="en-US" w:eastAsia="zh-CN"/>
        </w:rPr>
      </w:pPr>
      <w:r>
        <w:rPr>
          <w:rFonts w:hint="eastAsia" w:ascii="仿宋_GB2312" w:hAnsi="仿宋_GB2312" w:cs="仿宋_GB2312"/>
          <w:sz w:val="32"/>
          <w:szCs w:val="32"/>
          <w:lang w:val="en-US" w:eastAsia="zh-CN"/>
        </w:rPr>
        <w:t>2026年3月5日</w:t>
      </w:r>
    </w:p>
    <w:sectPr>
      <w:footerReference r:id="rId3" w:type="default"/>
      <w:pgSz w:w="11905" w:h="16840"/>
      <w:pgMar w:top="2098" w:right="1474" w:bottom="1984" w:left="1588" w:header="850" w:footer="1417" w:gutter="0"/>
      <w:pgNumType w:fmt="decimal"/>
      <w:cols w:space="0" w:num="1"/>
      <w:rtlGutter w:val="0"/>
      <w:docGrid w:type="linesAndChars" w:linePitch="579" w:charSpace="-8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11A44D-27E0-4FE4-9911-D478B8AA5C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F414E9B-71CC-4C50-8226-F35AAD12AC6F}"/>
  </w:font>
  <w:font w:name="仿宋_GB2312">
    <w:panose1 w:val="02010609030101010101"/>
    <w:charset w:val="86"/>
    <w:family w:val="auto"/>
    <w:pitch w:val="default"/>
    <w:sig w:usb0="00000001" w:usb1="080E0000" w:usb2="00000000" w:usb3="00000000" w:csb0="00040000" w:csb1="00000000"/>
    <w:embedRegular r:id="rId3" w:fontKey="{F007A337-2706-4FC1-9899-2577C652BE84}"/>
  </w:font>
  <w:font w:name="方正小标宋简体">
    <w:panose1 w:val="02000000000000000000"/>
    <w:charset w:val="86"/>
    <w:family w:val="auto"/>
    <w:pitch w:val="default"/>
    <w:sig w:usb0="00000001" w:usb1="080E0000" w:usb2="00000000" w:usb3="00000000" w:csb0="00040000" w:csb1="00000000"/>
    <w:embedRegular r:id="rId4" w:fontKey="{C278DBEA-EEFA-4A51-A22A-59997EF1C28F}"/>
  </w:font>
  <w:font w:name="楷体_GB2312">
    <w:altName w:val="楷体"/>
    <w:panose1 w:val="02010609030101010101"/>
    <w:charset w:val="86"/>
    <w:family w:val="auto"/>
    <w:pitch w:val="default"/>
    <w:sig w:usb0="00000000" w:usb1="00000000" w:usb2="00000000" w:usb3="00000000" w:csb0="00040000" w:csb1="00000000"/>
    <w:embedRegular r:id="rId5" w:fontKey="{166413DE-CB32-43BB-B0A4-25797A58700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rawingGridHorizontalSpacing w:val="158"/>
  <w:drawingGridVerticalSpacing w:val="290"/>
  <w:displayHorizontalDrawingGridEvery w:val="2"/>
  <w:displayVerticalDrawingGridEvery w:val="2"/>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4F31A65"/>
    <w:rsid w:val="188350F6"/>
    <w:rsid w:val="1CD37B05"/>
    <w:rsid w:val="1EE55FA1"/>
    <w:rsid w:val="23782BD6"/>
    <w:rsid w:val="48C26B3D"/>
    <w:rsid w:val="547E642B"/>
    <w:rsid w:val="62C72D8B"/>
    <w:rsid w:val="7F400B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1204399c-65dd-4cbd-bbcf-15694ffa5daf</errorID>
      <errorWord>同谋划、同部署、同推进、同考核</errorWord>
      <group>L1_Word</group>
      <groupName>字词问题</groupName>
      <ability>L2_Typo</ability>
      <abilityName>字词错误</abilityName>
      <candidateList>
        <item>同谋划、同部署、同推进</item>
      </candidateList>
      <explain/>
      <paraID>2F8BAC3A</paraID>
      <start>262</start>
      <end>273</end>
      <status>modified</status>
      <modifiedWord>同谋划、同部署、同推进</modifiedWord>
      <trackRevisions>false</trackRevisions>
    </reviewItem>
    <reviewItem>
      <errorID>76f0feac-6aea-4610-9a49-6e105d13f2f6</errorID>
      <errorWord>《行政处罚法》</errorWord>
      <group>L1_Word</group>
      <groupName>字词问题</groupName>
      <ability>L2_Typo</ability>
      <abilityName>字词错误</abilityName>
      <candidateList>
        <item>《中华人民共和国行政处罚法》</item>
      </candidateList>
      <explain/>
      <paraID>1EFBA280</paraID>
      <start>112</start>
      <end>119</end>
      <status>unmodified</status>
      <modifiedWord/>
      <trackRevisions>false</trackRevisions>
    </reviewItem>
    <reviewItem>
      <errorID>8a6dde51-07cc-4c72-a750-52af6cd6af96</errorID>
      <errorWord>《烟草专卖法》</errorWord>
      <group>L1_Word</group>
      <groupName>字词问题</groupName>
      <ability>L2_Typo</ability>
      <abilityName>字词错误</abilityName>
      <candidateList>
        <item>《中华人民共和国烟草专卖法》</item>
      </candidateList>
      <explain/>
      <paraID>1EFBA280</paraID>
      <start>119</start>
      <end>126</end>
      <status>unmodified</status>
      <modifiedWord/>
      <trackRevisions>false</trackRevisions>
    </reviewItem>
    <reviewItem>
      <errorID>1518923c-47a7-4bd5-8408-f1ee155be2ee</errorID>
      <errorWord>大</errorWord>
      <group>L1_Word</group>
      <groupName>字词问题</groupName>
      <ability>L2_Typo</ability>
      <abilityName>字词错误</abilityName>
      <candidateList>
        <item>大对</item>
      </candidateList>
      <explain/>
      <paraID> EACEC9D</paraID>
      <start>167</start>
      <end>168</end>
      <status>unmodified</status>
      <modifiedWord/>
      <trackRevisions>false</trackRevisions>
    </reviewItem>
    <reviewItem>
      <errorID>0a96870a-1352-4bcf-b3e5-eb249eb0c8d8</errorID>
      <errorWord>10.10</errorWord>
      <group>L1_Political</group>
      <groupName>政治性问题</groupName>
      <ability>L2_Unpolitical</ability>
      <abilityName>政治敏感错误</abilityName>
      <candidateList>
        <item>10·10</item>
      </candidateList>
      <explain/>
      <paraID> EACEC9D</paraID>
      <start>240</start>
      <end>245</end>
      <status>unmodified</status>
      <modifiedWord/>
      <trackRevisions>false</trackRevisions>
    </reviewItem>
    <reviewItem>
      <errorID>6e0b23ea-0cbe-41f5-bcf8-147c84e0c6e1</errorID>
      <errorWord>07.10</errorWord>
      <group>L1_Political</group>
      <groupName>政治性问题</groupName>
      <ability>L2_Unpolitical</ability>
      <abilityName>政治敏感错误</abilityName>
      <candidateList>
        <item>07·10</item>
      </candidateList>
      <explain/>
      <paraID> EACEC9D</paraID>
      <start>269</start>
      <end>274</end>
      <status>unmodified</status>
      <modifiedWord/>
      <trackRevisions>false</trackRevisions>
    </reviewItem>
    <reviewItem>
      <errorID>73523159-a573-4ee0-8f11-23689fd6eafd</errorID>
      <errorWord>单元格</errorWord>
      <group>L1_AI</group>
      <groupName>深度校对</groupName>
      <ability>L2_AI_Grammar</ability>
      <abilityName>语法纠错</abilityName>
      <candidateList>
        <item>零售户单元格</item>
      </candidateList>
      <explain/>
      <paraID> EACEC9D</paraID>
      <start>447</start>
      <end>450</end>
      <status>unmodified</status>
      <modifiedWord/>
      <trackRevisions>false</trackRevisions>
    </reviewItem>
    <reviewItem>
      <errorID>086d3bf4-761c-4cff-8809-3778cdacb600</errorID>
      <errorWord>教</errorWord>
      <group>L1_Word</group>
      <groupName>字词问题</groupName>
      <ability>L2_Typo</ability>
      <abilityName>字词错误</abilityName>
      <candidateList>
        <item>教育</item>
      </candidateList>
      <explain>❶〈名〉按一定要求培养人的工作，主要指学校培养人的工作：初等～｜高等～｜成人～｜～方针。❷〈动〉按一定要求培养：教师的责任是～下一代成为德、智、体全面发展的有用人才。❸〈动〉用道理说服人使照着（规则、指示或要求等）做：说服～｜～干部要清正廉洁。</explain>
      <paraID>3CE74232</paraID>
      <start>178</start>
      <end>179</end>
      <status>unmodified</status>
      <modifiedWord/>
      <trackRevisions>false</trackRevisions>
    </reviewItem>
    <reviewItem>
      <errorID>e5bca7b0-4568-4339-805c-ebf4cd4a3acd</errorID>
      <errorWord>四、</errorWord>
      <group>L1_AI</group>
      <groupName>深度校对</groupName>
      <ability>L2_AI_Punc</ability>
      <abilityName>标点纠错</abilityName>
      <candidateList>
        <item>（四）</item>
      </candidateList>
      <explain/>
      <paraID>5441098F</paraID>
      <start>0</start>
      <end>2</end>
      <status>unmodified</status>
      <modifiedWord/>
      <trackRevisions>false</trackRevisions>
    </reviewItem>
    <reviewItem>
      <errorID>89dd0f3e-1e31-429a-950c-f2779535ea6d</errorID>
      <errorWord>、</errorWord>
      <group>L1_AI</group>
      <groupName>深度校对</groupName>
      <ability>L2_AI_Punc</ability>
      <abilityName>标点纠错</abilityName>
      <candidateList>
        <item>，</item>
      </candidateList>
      <explain/>
      <paraID>71A14F6F</paraID>
      <start>8</start>
      <end>9</end>
      <status>unmodified</status>
      <modifiedWord/>
      <trackRevisions>false</trackRevisions>
    </reviewItem>
    <reviewItem>
      <errorID>1b9f8090-43f9-44dc-996c-f1325c8d0067</errorID>
      <errorWord>“</errorWord>
      <group>L1_AI</group>
      <groupName>深度校对</groupName>
      <ability>L2_AI_Title</ability>
      <abilityName>标题检查</abilityName>
      <candidateList>
        <item>（四）“</item>
      </candidateList>
      <explain>标题顺序错误，请检查标题顺序是否合理。</explain>
      <paraID>63F49F06</paraID>
      <start>141</start>
      <end>142</end>
      <status>unmodified</status>
      <modifiedWord/>
      <trackRevisions>false</trackRevisions>
    </reviewItem>
    <reviewItem>
      <errorID>57c5dd85-2536-4273-9629-11307110d32d</errorID>
      <errorWord>，</errorWord>
      <group>L1_AI</group>
      <groupName>深度校对</groupName>
      <ability>L2_AI_Punc</ability>
      <abilityName>标点纠错</abilityName>
      <candidateList>
        <item>，”</item>
      </candidateList>
      <explain/>
      <paraID>1F555061</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cb5ec-dfc4-435f-a85c-eae7ed1a3ba1}">
  <ds:schemaRefs/>
</ds:datastoreItem>
</file>

<file path=docProps/app.xml><?xml version="1.0" encoding="utf-8"?>
<Properties xmlns="http://schemas.openxmlformats.org/officeDocument/2006/extended-properties" xmlns:vt="http://schemas.openxmlformats.org/officeDocument/2006/docPropsVTypes">
  <Pages>6</Pages>
  <Words>2875</Words>
  <Characters>2921</Characters>
  <TotalTime>1</TotalTime>
  <ScaleCrop>false</ScaleCrop>
  <LinksUpToDate>false</LinksUpToDate>
  <CharactersWithSpaces>2921</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2026-03-04T08:36:00Z</dcterms:created>
  <dc:creator>Apache POI</dc:creator>
  <cp:lastModifiedBy>Sunshine</cp:lastModifiedBy>
  <cp:lastPrinted>2026-03-06T09:20:00Z</cp:lastPrinted>
  <dcterms:modified xsi:type="dcterms:W3CDTF">2026-03-24T00:54:01Z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eyJoZGlkIjoiMDZkOGY0OGFlNTZjOGE1MGJlZjJjNzNhODE5NTIyZGEiLCJ1c2VySWQiOiIxMzc2NDMyMTQ4In0=</vt:lpwstr>
  </property>
  <property fmtid="{D5CDD505-2E9C-101B-9397-08002B2CF9AE}" pid="3" name="KSOProductBuildVer">
    <vt:lpwstr>2052-12.1.0.15712</vt:lpwstr>
  </property>
  <property fmtid="{D5CDD505-2E9C-101B-9397-08002B2CF9AE}" pid="4" name="ICV">
    <vt:lpwstr>580B226EE7B7415FBA6441906784DD78_13</vt:lpwstr>
  </property>
</Properties>
</file>