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卢氏县自然资源局</w:t>
      </w:r>
    </w:p>
    <w:p>
      <w:pPr>
        <w:keepNext w:val="0"/>
        <w:keepLines w:val="0"/>
        <w:pageBreakBefore w:val="0"/>
        <w:widowControl w:val="0"/>
        <w:kinsoku/>
        <w:wordWrap/>
        <w:overflowPunct/>
        <w:topLinePunct w:val="0"/>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5</w:t>
      </w:r>
      <w:r>
        <w:rPr>
          <w:rFonts w:hint="eastAsia" w:ascii="方正小标宋简体" w:hAnsi="方正小标宋简体" w:eastAsia="方正小标宋简体" w:cs="方正小标宋简体"/>
          <w:sz w:val="44"/>
          <w:szCs w:val="44"/>
        </w:rPr>
        <w:t>年</w:t>
      </w:r>
      <w:r>
        <w:rPr>
          <w:rFonts w:hint="eastAsia" w:ascii="方正小标宋简体" w:hAnsi="方正小标宋简体" w:eastAsia="方正小标宋简体" w:cs="方正小标宋简体"/>
          <w:sz w:val="44"/>
          <w:szCs w:val="44"/>
          <w:lang w:eastAsia="zh-CN"/>
        </w:rPr>
        <w:t>度</w:t>
      </w:r>
      <w:r>
        <w:rPr>
          <w:rFonts w:hint="eastAsia" w:ascii="方正小标宋简体" w:hAnsi="方正小标宋简体" w:eastAsia="方正小标宋简体" w:cs="方正小标宋简体"/>
          <w:sz w:val="44"/>
          <w:szCs w:val="44"/>
        </w:rPr>
        <w:t>法治</w:t>
      </w:r>
      <w:r>
        <w:rPr>
          <w:rFonts w:hint="eastAsia" w:ascii="方正小标宋简体" w:hAnsi="方正小标宋简体" w:eastAsia="方正小标宋简体" w:cs="方正小标宋简体"/>
          <w:sz w:val="44"/>
          <w:szCs w:val="44"/>
          <w:lang w:eastAsia="zh-CN"/>
        </w:rPr>
        <w:t>政府</w:t>
      </w:r>
      <w:r>
        <w:rPr>
          <w:rFonts w:hint="eastAsia" w:ascii="方正小标宋简体" w:hAnsi="方正小标宋简体" w:eastAsia="方正小标宋简体" w:cs="方正小标宋简体"/>
          <w:sz w:val="44"/>
          <w:szCs w:val="44"/>
        </w:rPr>
        <w:t>建设</w:t>
      </w:r>
      <w:r>
        <w:rPr>
          <w:rFonts w:hint="eastAsia" w:ascii="方正小标宋简体" w:hAnsi="方正小标宋简体" w:eastAsia="方正小标宋简体" w:cs="方正小标宋简体"/>
          <w:sz w:val="44"/>
          <w:szCs w:val="44"/>
          <w:lang w:eastAsia="zh-CN"/>
        </w:rPr>
        <w:t>情况报告</w:t>
      </w:r>
    </w:p>
    <w:p>
      <w:pPr>
        <w:keepNext w:val="0"/>
        <w:keepLines w:val="0"/>
        <w:pageBreakBefore w:val="0"/>
        <w:widowControl w:val="0"/>
        <w:kinsoku/>
        <w:wordWrap/>
        <w:overflowPunct/>
        <w:topLinePunct w:val="0"/>
        <w:autoSpaceDN/>
        <w:bidi w:val="0"/>
        <w:adjustRightInd/>
        <w:snapToGrid/>
        <w:spacing w:line="560" w:lineRule="exact"/>
        <w:ind w:firstLine="640" w:firstLineChars="200"/>
        <w:textAlignment w:val="auto"/>
        <w:rPr>
          <w:rFonts w:hint="eastAsia" w:ascii="仿宋" w:hAnsi="仿宋" w:eastAsia="仿宋" w:cs="仿宋"/>
          <w:sz w:val="32"/>
          <w:szCs w:val="32"/>
        </w:rPr>
      </w:pPr>
      <w:bookmarkStart w:id="0" w:name="_GoBack"/>
      <w:bookmarkEnd w:id="0"/>
    </w:p>
    <w:p>
      <w:pPr>
        <w:keepNext w:val="0"/>
        <w:keepLines w:val="0"/>
        <w:pageBreakBefore w:val="0"/>
        <w:widowControl w:val="0"/>
        <w:kinsoku/>
        <w:wordWrap/>
        <w:overflowPunct/>
        <w:topLinePunct w:val="0"/>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5</w:t>
      </w:r>
      <w:r>
        <w:rPr>
          <w:rFonts w:hint="eastAsia" w:ascii="仿宋" w:hAnsi="仿宋" w:eastAsia="仿宋" w:cs="仿宋"/>
          <w:sz w:val="32"/>
          <w:szCs w:val="32"/>
        </w:rPr>
        <w:t>年度，县自然资源局坚持以习近平新时代中国特色社会主义思想为指导，全面学习贯彻习近平法治思想和关于平</w:t>
      </w:r>
      <w:r>
        <w:rPr>
          <w:rFonts w:hint="eastAsia" w:ascii="仿宋" w:hAnsi="仿宋" w:eastAsia="仿宋" w:cs="仿宋"/>
          <w:color w:val="191919"/>
          <w:sz w:val="32"/>
          <w:szCs w:val="32"/>
          <w:shd w:val="clear" w:color="auto" w:fill="FFFFFF"/>
        </w:rPr>
        <w:t>安中国建设的重要论述，</w:t>
      </w:r>
      <w:r>
        <w:rPr>
          <w:rFonts w:hint="eastAsia" w:ascii="仿宋" w:hAnsi="仿宋" w:eastAsia="仿宋" w:cs="仿宋"/>
          <w:sz w:val="32"/>
          <w:szCs w:val="32"/>
        </w:rPr>
        <w:t>落实县委县政府法治政府建设有关部署，以提升自然资源管理能力为抓手，着力完善工作机制，规范行政执法行为，推进全县自然资源系统法治建设，不断提升自然资源管理水平，强化自然资源要素保障，</w:t>
      </w:r>
      <w:r>
        <w:rPr>
          <w:rFonts w:hint="eastAsia" w:ascii="仿宋" w:hAnsi="仿宋" w:eastAsia="仿宋" w:cs="仿宋"/>
          <w:sz w:val="32"/>
          <w:szCs w:val="32"/>
          <w:lang w:eastAsia="zh-CN"/>
        </w:rPr>
        <w:t>优化营商环境，</w:t>
      </w:r>
      <w:r>
        <w:rPr>
          <w:rFonts w:hint="eastAsia" w:ascii="仿宋" w:hAnsi="仿宋" w:eastAsia="仿宋" w:cs="仿宋"/>
          <w:sz w:val="32"/>
          <w:szCs w:val="32"/>
        </w:rPr>
        <w:t>为全县自然资源工作高质量发展发挥好法治的引领和保障作用。现将我局202</w:t>
      </w:r>
      <w:r>
        <w:rPr>
          <w:rFonts w:hint="eastAsia" w:ascii="仿宋" w:hAnsi="仿宋" w:eastAsia="仿宋" w:cs="仿宋"/>
          <w:sz w:val="32"/>
          <w:szCs w:val="32"/>
          <w:lang w:val="en-US" w:eastAsia="zh-CN"/>
        </w:rPr>
        <w:t>5</w:t>
      </w:r>
      <w:r>
        <w:rPr>
          <w:rFonts w:hint="eastAsia" w:ascii="仿宋" w:hAnsi="仿宋" w:eastAsia="仿宋" w:cs="仿宋"/>
          <w:sz w:val="32"/>
          <w:szCs w:val="32"/>
        </w:rPr>
        <w:t>年度推进法治政府建设工作总结报告如下：</w:t>
      </w:r>
    </w:p>
    <w:p>
      <w:pPr>
        <w:keepNext w:val="0"/>
        <w:keepLines w:val="0"/>
        <w:pageBreakBefore w:val="0"/>
        <w:widowControl w:val="0"/>
        <w:kinsoku/>
        <w:wordWrap/>
        <w:overflowPunct/>
        <w:topLinePunct w:val="0"/>
        <w:autoSpaceDN/>
        <w:bidi w:val="0"/>
        <w:adjustRightInd/>
        <w:snapToGrid/>
        <w:spacing w:line="560" w:lineRule="exact"/>
        <w:ind w:firstLine="643" w:firstLineChars="200"/>
        <w:textAlignment w:val="auto"/>
        <w:rPr>
          <w:rFonts w:hint="eastAsia" w:ascii="国标宋体" w:hAnsi="国标宋体" w:eastAsia="国标宋体" w:cs="国标宋体"/>
          <w:b/>
          <w:bCs/>
          <w:sz w:val="32"/>
          <w:szCs w:val="32"/>
        </w:rPr>
      </w:pPr>
      <w:r>
        <w:rPr>
          <w:rFonts w:hint="eastAsia" w:ascii="国标宋体" w:hAnsi="国标宋体" w:eastAsia="国标宋体" w:cs="国标宋体"/>
          <w:b/>
          <w:bCs/>
          <w:sz w:val="32"/>
          <w:szCs w:val="32"/>
        </w:rPr>
        <w:t>一</w:t>
      </w:r>
      <w:r>
        <w:rPr>
          <w:rFonts w:hint="eastAsia" w:ascii="国标宋体" w:hAnsi="国标宋体" w:eastAsia="国标宋体" w:cs="国标宋体"/>
          <w:b/>
          <w:bCs/>
          <w:sz w:val="32"/>
          <w:szCs w:val="32"/>
          <w:lang w:eastAsia="zh-CN"/>
        </w:rPr>
        <w:t>、</w:t>
      </w:r>
      <w:r>
        <w:rPr>
          <w:rFonts w:hint="eastAsia" w:ascii="国标宋体" w:hAnsi="国标宋体" w:eastAsia="国标宋体" w:cs="国标宋体"/>
          <w:b/>
          <w:bCs/>
          <w:sz w:val="32"/>
          <w:szCs w:val="32"/>
        </w:rPr>
        <w:t>深入学习宣传贯彻习近平法治思想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rPr>
      </w:pPr>
      <w:r>
        <w:rPr>
          <w:rFonts w:hint="eastAsia" w:ascii="仿宋" w:hAnsi="仿宋" w:eastAsia="仿宋" w:cs="仿宋"/>
          <w:sz w:val="32"/>
          <w:szCs w:val="32"/>
        </w:rPr>
        <w:t>习近平法治思想对当前和今后一个时期推进全面依法治国</w:t>
      </w:r>
      <w:r>
        <w:rPr>
          <w:rFonts w:hint="eastAsia" w:ascii="仿宋" w:hAnsi="仿宋" w:eastAsia="仿宋" w:cs="仿宋"/>
          <w:sz w:val="32"/>
          <w:szCs w:val="32"/>
          <w:lang w:eastAsia="zh-CN"/>
        </w:rPr>
        <w:t>、</w:t>
      </w:r>
      <w:r>
        <w:rPr>
          <w:rFonts w:hint="eastAsia" w:ascii="仿宋" w:hAnsi="仿宋" w:eastAsia="仿宋" w:cs="仿宋"/>
          <w:sz w:val="32"/>
          <w:szCs w:val="32"/>
        </w:rPr>
        <w:t>为新时代全面依法治国提供了根本遵循和行动指南。把习近平法治思想作为学习党的二十大精神的重要内容，严格落实“第一议题”制度，纳入我局学法用法工作学习计划中。</w:t>
      </w:r>
      <w:r>
        <w:rPr>
          <w:rFonts w:hint="eastAsia" w:ascii="仿宋" w:hAnsi="仿宋" w:eastAsia="仿宋"/>
          <w:sz w:val="32"/>
          <w:szCs w:val="32"/>
        </w:rPr>
        <w:t>始终把学习贯彻习近平法治思想作为首要政治任务，将其纳入党组理论学习中心组学习核心内容，定期召开专题会</w:t>
      </w:r>
      <w:r>
        <w:rPr>
          <w:rFonts w:hint="eastAsia" w:ascii="仿宋" w:hAnsi="仿宋" w:eastAsia="仿宋"/>
          <w:color w:val="auto"/>
          <w:sz w:val="32"/>
          <w:szCs w:val="32"/>
          <w:lang w:eastAsia="zh-CN"/>
        </w:rPr>
        <w:t>会议</w:t>
      </w:r>
      <w:r>
        <w:rPr>
          <w:rFonts w:hint="eastAsia" w:ascii="仿宋" w:hAnsi="仿宋" w:eastAsia="仿宋"/>
          <w:color w:val="auto"/>
          <w:sz w:val="32"/>
          <w:szCs w:val="32"/>
          <w:lang w:val="en-US" w:eastAsia="zh-CN"/>
        </w:rPr>
        <w:t>7次，</w:t>
      </w:r>
      <w:r>
        <w:rPr>
          <w:rFonts w:hint="eastAsia" w:ascii="仿宋" w:hAnsi="仿宋" w:eastAsia="仿宋"/>
          <w:sz w:val="32"/>
          <w:szCs w:val="32"/>
          <w:lang w:eastAsia="zh-CN"/>
        </w:rPr>
        <w:t>学习</w:t>
      </w:r>
      <w:r>
        <w:rPr>
          <w:rFonts w:hint="eastAsia" w:ascii="仿宋" w:hAnsi="仿宋" w:eastAsia="仿宋"/>
          <w:sz w:val="32"/>
          <w:szCs w:val="32"/>
        </w:rPr>
        <w:t>研读《土地管理法》《城乡规划法》《矿产资源法》等核心法规。成立由</w:t>
      </w:r>
      <w:r>
        <w:rPr>
          <w:rFonts w:hint="eastAsia" w:ascii="仿宋" w:hAnsi="仿宋" w:eastAsia="仿宋"/>
          <w:sz w:val="32"/>
          <w:szCs w:val="32"/>
          <w:lang w:eastAsia="zh-CN"/>
        </w:rPr>
        <w:t>党组书记任</w:t>
      </w:r>
      <w:r>
        <w:rPr>
          <w:rFonts w:hint="eastAsia" w:ascii="仿宋" w:hAnsi="仿宋" w:eastAsia="仿宋"/>
          <w:sz w:val="32"/>
          <w:szCs w:val="32"/>
        </w:rPr>
        <w:t>组长的法治建设领导小组，明确各部门职责分工，形成“主要领导亲自抓、分管领导具体抓、股室负责人直接抓”的三级责任链条。完善重大行政决策制度，严格执行合法性审查、专家论证、集体讨论等程序</w:t>
      </w:r>
      <w:r>
        <w:rPr>
          <w:rFonts w:hint="eastAsia" w:ascii="仿宋" w:hAnsi="仿宋" w:eastAsia="仿宋"/>
          <w:sz w:val="32"/>
          <w:szCs w:val="32"/>
          <w:lang w:eastAsia="zh-CN"/>
        </w:rPr>
        <w:t>。</w:t>
      </w:r>
      <w:r>
        <w:rPr>
          <w:rFonts w:hint="eastAsia" w:ascii="仿宋" w:hAnsi="仿宋" w:eastAsia="仿宋"/>
          <w:sz w:val="32"/>
          <w:szCs w:val="32"/>
          <w:lang w:val="en-US" w:eastAsia="zh-CN"/>
        </w:rPr>
        <w:t>同时，</w:t>
      </w:r>
      <w:r>
        <w:rPr>
          <w:rFonts w:hint="eastAsia" w:ascii="仿宋" w:hAnsi="仿宋" w:eastAsia="仿宋"/>
          <w:sz w:val="32"/>
          <w:szCs w:val="32"/>
        </w:rPr>
        <w:t>加强法治工作队伍建设，选派业务骨干参加法治培训，通过线上学法、线下考试等方式，提高干部职工法治意识和依法行政能力。</w:t>
      </w:r>
    </w:p>
    <w:p>
      <w:pPr>
        <w:keepNext w:val="0"/>
        <w:keepLines w:val="0"/>
        <w:pageBreakBefore w:val="0"/>
        <w:widowControl w:val="0"/>
        <w:kinsoku/>
        <w:wordWrap/>
        <w:overflowPunct/>
        <w:topLinePunct w:val="0"/>
        <w:autoSpaceDN/>
        <w:bidi w:val="0"/>
        <w:adjustRightInd/>
        <w:snapToGrid/>
        <w:spacing w:line="560" w:lineRule="exact"/>
        <w:ind w:firstLine="643" w:firstLineChars="200"/>
        <w:textAlignment w:val="auto"/>
        <w:rPr>
          <w:rFonts w:hint="eastAsia" w:ascii="国标宋体" w:hAnsi="国标宋体" w:eastAsia="国标宋体" w:cs="国标宋体"/>
          <w:b/>
          <w:bCs/>
          <w:sz w:val="32"/>
          <w:szCs w:val="32"/>
        </w:rPr>
      </w:pPr>
      <w:r>
        <w:rPr>
          <w:rFonts w:hint="eastAsia" w:ascii="国标宋体" w:hAnsi="国标宋体" w:eastAsia="国标宋体" w:cs="国标宋体"/>
          <w:b/>
          <w:bCs/>
          <w:sz w:val="32"/>
          <w:szCs w:val="32"/>
        </w:rPr>
        <w:t>二</w:t>
      </w:r>
      <w:r>
        <w:rPr>
          <w:rFonts w:hint="eastAsia" w:ascii="国标宋体" w:hAnsi="国标宋体" w:eastAsia="国标宋体" w:cs="国标宋体"/>
          <w:b/>
          <w:bCs/>
          <w:sz w:val="32"/>
          <w:szCs w:val="32"/>
          <w:lang w:eastAsia="zh-CN"/>
        </w:rPr>
        <w:t>、</w:t>
      </w:r>
      <w:r>
        <w:rPr>
          <w:rFonts w:hint="eastAsia" w:ascii="国标宋体" w:hAnsi="国标宋体" w:eastAsia="国标宋体" w:cs="国标宋体"/>
          <w:b/>
          <w:bCs/>
          <w:sz w:val="32"/>
          <w:szCs w:val="32"/>
        </w:rPr>
        <w:t>积极推进法治政府建设工作，提高依法行政水平</w:t>
      </w:r>
    </w:p>
    <w:p>
      <w:pPr>
        <w:keepNext w:val="0"/>
        <w:keepLines w:val="0"/>
        <w:pageBreakBefore w:val="0"/>
        <w:widowControl w:val="0"/>
        <w:kinsoku/>
        <w:wordWrap/>
        <w:overflowPunct/>
        <w:topLinePunct w:val="0"/>
        <w:autoSpaceDN/>
        <w:bidi w:val="0"/>
        <w:adjustRightInd/>
        <w:snapToGrid/>
        <w:spacing w:line="560" w:lineRule="exact"/>
        <w:ind w:firstLine="640" w:firstLineChars="200"/>
        <w:textAlignment w:val="auto"/>
        <w:rPr>
          <w:rFonts w:hint="eastAsia" w:ascii="仿宋" w:hAnsi="仿宋" w:eastAsia="仿宋"/>
          <w:sz w:val="32"/>
          <w:szCs w:val="32"/>
        </w:rPr>
      </w:pPr>
      <w:r>
        <w:rPr>
          <w:rFonts w:hint="eastAsia" w:ascii="仿宋" w:hAnsi="仿宋" w:eastAsia="仿宋" w:cs="仿宋"/>
          <w:sz w:val="32"/>
          <w:szCs w:val="32"/>
        </w:rPr>
        <w:t>坚持</w:t>
      </w:r>
      <w:r>
        <w:rPr>
          <w:rFonts w:hint="eastAsia" w:ascii="仿宋" w:hAnsi="仿宋" w:eastAsia="仿宋" w:cs="仿宋"/>
          <w:color w:val="191919"/>
          <w:sz w:val="32"/>
          <w:szCs w:val="32"/>
          <w:shd w:val="clear" w:color="auto" w:fill="FFFFFF"/>
        </w:rPr>
        <w:t>以习近平新时代中国特色社会主义思想为指导</w:t>
      </w:r>
      <w:r>
        <w:rPr>
          <w:rFonts w:hint="eastAsia" w:ascii="仿宋" w:hAnsi="仿宋" w:eastAsia="仿宋" w:cs="仿宋"/>
          <w:sz w:val="32"/>
          <w:szCs w:val="32"/>
        </w:rPr>
        <w:t>，全面学习贯彻习近平法治思想，</w:t>
      </w:r>
      <w:r>
        <w:rPr>
          <w:rFonts w:hint="eastAsia" w:ascii="仿宋" w:hAnsi="仿宋" w:eastAsia="仿宋"/>
          <w:sz w:val="32"/>
          <w:szCs w:val="32"/>
        </w:rPr>
        <w:t>深入贯彻落实党的二十大、二十届三中全会精神，紧紧围绕县委、县政府各项决策部署，锚定“3</w:t>
      </w:r>
      <w:r>
        <w:rPr>
          <w:rFonts w:hint="eastAsia" w:ascii="仿宋" w:hAnsi="仿宋" w:eastAsia="仿宋"/>
          <w:sz w:val="32"/>
          <w:szCs w:val="32"/>
          <w:lang w:val="en-US" w:eastAsia="zh-CN"/>
        </w:rPr>
        <w:t>8</w:t>
      </w:r>
      <w:r>
        <w:rPr>
          <w:rFonts w:hint="eastAsia" w:ascii="仿宋" w:hAnsi="仿宋" w:eastAsia="仿宋"/>
          <w:sz w:val="32"/>
          <w:szCs w:val="32"/>
        </w:rPr>
        <w:t>33”工作布局，</w:t>
      </w:r>
      <w:r>
        <w:rPr>
          <w:rFonts w:ascii="仿宋_GB2312" w:eastAsia="仿宋_GB2312"/>
          <w:color w:val="000000"/>
          <w:sz w:val="32"/>
          <w:szCs w:val="32"/>
        </w:rPr>
        <w:t>以提升自然资源支撑保障能力为主线，统筹推进保发展、保耕地、保生态、保权益，</w:t>
      </w:r>
      <w:r>
        <w:rPr>
          <w:rFonts w:hint="eastAsia" w:ascii="仿宋" w:hAnsi="仿宋" w:eastAsia="仿宋"/>
          <w:sz w:val="32"/>
          <w:szCs w:val="32"/>
        </w:rPr>
        <w:t>各项工作取得了明显成效。</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lang w:val="en-US" w:eastAsia="zh-CN"/>
        </w:rPr>
      </w:pPr>
      <w:r>
        <w:rPr>
          <w:rFonts w:hint="eastAsia" w:ascii="楷体" w:hAnsi="楷体" w:eastAsia="楷体" w:cs="楷体"/>
          <w:b/>
          <w:bCs/>
          <w:sz w:val="32"/>
          <w:szCs w:val="32"/>
          <w:lang w:val="en-US" w:eastAsia="zh-CN"/>
        </w:rPr>
        <w:t>一是</w:t>
      </w:r>
      <w:r>
        <w:rPr>
          <w:rFonts w:hint="eastAsia" w:ascii="楷体" w:hAnsi="楷体" w:eastAsia="楷体" w:cs="楷体"/>
          <w:b/>
          <w:bCs/>
          <w:sz w:val="32"/>
          <w:szCs w:val="32"/>
        </w:rPr>
        <w:t>梳理检查清单</w:t>
      </w:r>
      <w:r>
        <w:rPr>
          <w:rFonts w:hint="eastAsia" w:ascii="楷体" w:hAnsi="楷体" w:eastAsia="楷体" w:cs="楷体"/>
          <w:b/>
          <w:bCs/>
          <w:sz w:val="32"/>
          <w:szCs w:val="32"/>
          <w:lang w:eastAsia="zh-CN"/>
        </w:rPr>
        <w:t>。</w:t>
      </w:r>
      <w:r>
        <w:rPr>
          <w:rFonts w:hint="eastAsia" w:ascii="仿宋" w:hAnsi="仿宋" w:eastAsia="仿宋" w:cs="仿宋"/>
          <w:sz w:val="32"/>
          <w:szCs w:val="32"/>
        </w:rPr>
        <w:t>依托全省行政执法事项梳理系统，联合相关部门梳理自然资源领域涉企检查事项，按照“能并则并、能合则合”原则，编制《联合执法检查事项清单》并向社会公布，确保所有联合检查事项均于法有据、清单管理。</w:t>
      </w:r>
      <w:r>
        <w:rPr>
          <w:rFonts w:hint="eastAsia" w:ascii="楷体" w:hAnsi="楷体" w:eastAsia="楷体" w:cs="楷体"/>
          <w:b/>
          <w:bCs/>
          <w:sz w:val="32"/>
          <w:szCs w:val="32"/>
          <w:lang w:val="en-US" w:eastAsia="zh-CN"/>
        </w:rPr>
        <w:t>二是</w:t>
      </w:r>
      <w:r>
        <w:rPr>
          <w:rFonts w:hint="eastAsia" w:ascii="楷体" w:hAnsi="楷体" w:eastAsia="楷体" w:cs="楷体"/>
          <w:b/>
          <w:bCs/>
          <w:sz w:val="32"/>
          <w:szCs w:val="32"/>
        </w:rPr>
        <w:t>明确检查标准</w:t>
      </w:r>
      <w:r>
        <w:rPr>
          <w:rFonts w:hint="eastAsia" w:ascii="楷体" w:hAnsi="楷体" w:eastAsia="楷体" w:cs="楷体"/>
          <w:b/>
          <w:bCs/>
          <w:sz w:val="32"/>
          <w:szCs w:val="32"/>
          <w:lang w:eastAsia="zh-CN"/>
        </w:rPr>
        <w:t>。</w:t>
      </w:r>
      <w:r>
        <w:rPr>
          <w:rFonts w:hint="eastAsia" w:ascii="仿宋" w:hAnsi="仿宋" w:eastAsia="仿宋" w:cs="仿宋"/>
          <w:sz w:val="32"/>
          <w:szCs w:val="32"/>
        </w:rPr>
        <w:t>参照省级主管部门公布的行政检查标准，</w:t>
      </w:r>
      <w:r>
        <w:rPr>
          <w:rFonts w:hint="eastAsia" w:ascii="仿宋" w:hAnsi="仿宋" w:eastAsia="仿宋" w:cs="仿宋"/>
          <w:color w:val="000000" w:themeColor="text1"/>
          <w:sz w:val="32"/>
          <w:szCs w:val="32"/>
          <w14:textFill>
            <w14:solidFill>
              <w14:schemeClr w14:val="tx1"/>
            </w14:solidFill>
          </w14:textFill>
        </w:rPr>
        <w:t>主动对接应急管理、生态环境等部门，</w:t>
      </w:r>
      <w:r>
        <w:rPr>
          <w:rFonts w:hint="eastAsia" w:ascii="仿宋" w:hAnsi="仿宋" w:eastAsia="仿宋" w:cs="仿宋"/>
          <w:sz w:val="32"/>
          <w:szCs w:val="32"/>
        </w:rPr>
        <w:t>对每项检查事项明确检查流程、判定依据、文书标准，实现“同一事项同一标准”，避免企业因标准不一导致的合规困惑。</w:t>
      </w:r>
      <w:r>
        <w:rPr>
          <w:rFonts w:hint="eastAsia" w:ascii="楷体" w:hAnsi="楷体" w:eastAsia="楷体" w:cs="楷体"/>
          <w:b/>
          <w:bCs/>
          <w:sz w:val="32"/>
          <w:szCs w:val="32"/>
          <w:lang w:val="en-US" w:eastAsia="zh-CN"/>
        </w:rPr>
        <w:t>三是规范检查计划。</w:t>
      </w:r>
      <w:r>
        <w:rPr>
          <w:rFonts w:hint="eastAsia" w:ascii="仿宋" w:hAnsi="仿宋" w:eastAsia="仿宋" w:cs="仿宋"/>
          <w:color w:val="000000" w:themeColor="text1"/>
          <w:sz w:val="32"/>
          <w:szCs w:val="32"/>
          <w14:textFill>
            <w14:solidFill>
              <w14:schemeClr w14:val="tx1"/>
            </w14:solidFill>
          </w14:textFill>
        </w:rPr>
        <w:t>严格执行涉企行政检查计划公示制度，梳理并公布矿业权领域涉企</w:t>
      </w:r>
      <w:r>
        <w:rPr>
          <w:rFonts w:hint="eastAsia" w:ascii="仿宋" w:hAnsi="仿宋" w:eastAsia="仿宋" w:cs="仿宋"/>
          <w:color w:val="000000" w:themeColor="text1"/>
          <w:sz w:val="32"/>
          <w:szCs w:val="32"/>
          <w:lang w:val="en-US" w:eastAsia="zh-CN"/>
          <w14:textFill>
            <w14:solidFill>
              <w14:schemeClr w14:val="tx1"/>
            </w14:solidFill>
          </w14:textFill>
        </w:rPr>
        <w:t>联合</w:t>
      </w:r>
      <w:r>
        <w:rPr>
          <w:rFonts w:hint="eastAsia" w:ascii="仿宋" w:hAnsi="仿宋" w:eastAsia="仿宋" w:cs="仿宋"/>
          <w:color w:val="000000" w:themeColor="text1"/>
          <w:sz w:val="32"/>
          <w:szCs w:val="32"/>
          <w14:textFill>
            <w14:solidFill>
              <w14:schemeClr w14:val="tx1"/>
            </w14:solidFill>
          </w14:textFill>
        </w:rPr>
        <w:t>年度检查计划，明确检查对象、频次、方式等内容，杜绝无计划、随意性检查。今年以来，所有检查均从计划内产生，未出现擅自扩大检查范围、增加检查事项的情况。</w:t>
      </w:r>
      <w:r>
        <w:rPr>
          <w:rFonts w:hint="eastAsia" w:ascii="楷体" w:hAnsi="楷体" w:eastAsia="楷体" w:cs="楷体"/>
          <w:b/>
          <w:bCs/>
          <w:sz w:val="32"/>
          <w:szCs w:val="32"/>
          <w:lang w:val="en-US" w:eastAsia="zh-CN"/>
        </w:rPr>
        <w:t>四是推行“综合查一次”执法模式。</w:t>
      </w:r>
      <w:r>
        <w:rPr>
          <w:rFonts w:hint="eastAsia" w:ascii="仿宋" w:hAnsi="仿宋" w:eastAsia="仿宋" w:cs="仿宋"/>
          <w:color w:val="000000" w:themeColor="text1"/>
          <w:sz w:val="32"/>
          <w:szCs w:val="32"/>
          <w14:textFill>
            <w14:solidFill>
              <w14:schemeClr w14:val="tx1"/>
            </w14:solidFill>
          </w14:textFill>
        </w:rPr>
        <w:t>主动对接应急管理、生态环境等部门，整合矿业权核查、矿山生态修复监管、安全生产检查等多类事项，制定联合抽查计划。通过“进一次门、查多项事”，将企业迎检频次平均减少40%，切实减轻企业负担</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楷体" w:hAnsi="楷体" w:eastAsia="楷体" w:cs="楷体"/>
          <w:b/>
          <w:bCs/>
          <w:sz w:val="32"/>
          <w:szCs w:val="32"/>
          <w:lang w:val="en-US" w:eastAsia="zh-CN"/>
        </w:rPr>
        <w:t>五是畅通企业反馈渠道。</w:t>
      </w:r>
      <w:r>
        <w:rPr>
          <w:rFonts w:hint="eastAsia" w:ascii="仿宋" w:hAnsi="仿宋" w:eastAsia="仿宋" w:cs="仿宋"/>
          <w:color w:val="000000" w:themeColor="text1"/>
          <w:sz w:val="32"/>
          <w:szCs w:val="32"/>
          <w14:textFill>
            <w14:solidFill>
              <w14:schemeClr w14:val="tx1"/>
            </w14:solidFill>
          </w14:textFill>
        </w:rPr>
        <w:t>在执法检查中主动设立企业意见反馈台账。通过走访回访矿山企业</w:t>
      </w:r>
      <w:r>
        <w:rPr>
          <w:rFonts w:hint="eastAsia" w:ascii="仿宋" w:hAnsi="仿宋" w:eastAsia="仿宋" w:cs="仿宋"/>
          <w:color w:val="000000" w:themeColor="text1"/>
          <w:sz w:val="32"/>
          <w:szCs w:val="32"/>
          <w:lang w:val="en-US" w:eastAsia="zh-CN"/>
          <w14:textFill>
            <w14:solidFill>
              <w14:schemeClr w14:val="tx1"/>
            </w14:solidFill>
          </w14:textFill>
        </w:rPr>
        <w:t>13</w:t>
      </w:r>
      <w:r>
        <w:rPr>
          <w:rFonts w:hint="eastAsia" w:ascii="仿宋" w:hAnsi="仿宋" w:eastAsia="仿宋" w:cs="仿宋"/>
          <w:color w:val="000000" w:themeColor="text1"/>
          <w:sz w:val="32"/>
          <w:szCs w:val="32"/>
          <w14:textFill>
            <w14:solidFill>
              <w14:schemeClr w14:val="tx1"/>
            </w14:solidFill>
          </w14:textFill>
        </w:rPr>
        <w:t>家，收集执</w:t>
      </w:r>
      <w:r>
        <w:rPr>
          <w:rFonts w:hint="eastAsia" w:ascii="仿宋" w:hAnsi="仿宋" w:eastAsia="仿宋" w:cs="仿宋"/>
          <w:color w:val="000000" w:themeColor="text1"/>
          <w:sz w:val="32"/>
          <w:szCs w:val="32"/>
          <w:lang w:val="en-US" w:eastAsia="zh-CN"/>
          <w14:textFill>
            <w14:solidFill>
              <w14:schemeClr w14:val="tx1"/>
            </w14:solidFill>
          </w14:textFill>
        </w:rPr>
        <w:t>联合抽查情况记录表，加强矿山企业对</w:t>
      </w:r>
      <w:r>
        <w:rPr>
          <w:rFonts w:hint="eastAsia" w:ascii="仿宋" w:hAnsi="仿宋" w:eastAsia="仿宋" w:cs="仿宋"/>
          <w:color w:val="000000" w:themeColor="text1"/>
          <w:sz w:val="32"/>
          <w:szCs w:val="32"/>
          <w14:textFill>
            <w14:solidFill>
              <w14:schemeClr w14:val="tx1"/>
            </w14:solidFill>
          </w14:textFill>
        </w:rPr>
        <w:t>政策知晓度等方面</w:t>
      </w:r>
      <w:r>
        <w:rPr>
          <w:rFonts w:hint="eastAsia" w:ascii="仿宋" w:hAnsi="仿宋" w:eastAsia="仿宋" w:cs="仿宋"/>
          <w:color w:val="000000" w:themeColor="text1"/>
          <w:sz w:val="32"/>
          <w:szCs w:val="32"/>
          <w:lang w:val="en-US" w:eastAsia="zh-CN"/>
          <w14:textFill>
            <w14:solidFill>
              <w14:schemeClr w14:val="tx1"/>
            </w14:solidFill>
          </w14:textFill>
        </w:rPr>
        <w:t>了解</w:t>
      </w:r>
      <w:r>
        <w:rPr>
          <w:rFonts w:hint="eastAsia" w:ascii="仿宋" w:hAnsi="仿宋" w:eastAsia="仿宋" w:cs="仿宋"/>
          <w:color w:val="000000" w:themeColor="text1"/>
          <w:sz w:val="32"/>
          <w:szCs w:val="32"/>
          <w14:textFill>
            <w14:solidFill>
              <w14:schemeClr w14:val="tx1"/>
            </w14:solidFill>
          </w14:textFill>
        </w:rPr>
        <w:t>。</w:t>
      </w:r>
      <w:r>
        <w:rPr>
          <w:rFonts w:hint="eastAsia" w:ascii="楷体" w:hAnsi="楷体" w:eastAsia="楷体" w:cs="楷体"/>
          <w:b/>
          <w:bCs/>
          <w:sz w:val="32"/>
          <w:szCs w:val="32"/>
          <w:lang w:val="en-US" w:eastAsia="zh-CN"/>
        </w:rPr>
        <w:t>六是</w:t>
      </w:r>
      <w:r>
        <w:rPr>
          <w:rFonts w:hint="eastAsia" w:ascii="楷体" w:hAnsi="楷体" w:eastAsia="楷体" w:cs="楷体"/>
          <w:b/>
          <w:bCs/>
          <w:sz w:val="32"/>
          <w:szCs w:val="32"/>
        </w:rPr>
        <w:t>强化执法队伍建设</w:t>
      </w:r>
      <w:r>
        <w:rPr>
          <w:rFonts w:hint="eastAsia" w:ascii="楷体" w:hAnsi="楷体" w:eastAsia="楷体" w:cs="楷体"/>
          <w:b/>
          <w:bCs/>
          <w:sz w:val="32"/>
          <w:szCs w:val="32"/>
          <w:lang w:eastAsia="zh-CN"/>
        </w:rPr>
        <w:t>。</w:t>
      </w:r>
      <w:r>
        <w:rPr>
          <w:rFonts w:hint="eastAsia" w:ascii="仿宋" w:hAnsi="仿宋" w:eastAsia="仿宋" w:cs="仿宋"/>
          <w:sz w:val="32"/>
          <w:szCs w:val="32"/>
          <w:lang w:val="en-US" w:eastAsia="zh-CN"/>
        </w:rPr>
        <w:t>实行执法人员持证上岗制度，</w:t>
      </w:r>
      <w:r>
        <w:rPr>
          <w:rFonts w:hint="eastAsia" w:ascii="仿宋" w:hAnsi="仿宋" w:eastAsia="仿宋" w:cs="仿宋"/>
          <w:color w:val="000000" w:themeColor="text1"/>
          <w:sz w:val="32"/>
          <w:szCs w:val="32"/>
          <w14:textFill>
            <w14:solidFill>
              <w14:schemeClr w14:val="tx1"/>
            </w14:solidFill>
          </w14:textFill>
        </w:rPr>
        <w:t>建立常态化学法机制，结合矿业权典型案例开展以案释法培训，重点强化《矿产资源法》及涉企执法新规解读</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sz w:val="32"/>
          <w:szCs w:val="32"/>
          <w:lang w:val="en-US" w:eastAsia="zh-CN"/>
        </w:rPr>
        <w:t>配齐执法记录仪等装备，严格落实执法全过程记录制度，规范执法文书制作。执法人员严格遵守八项规定，不得影响企业日常生产经营。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三</w:t>
      </w:r>
      <w:r>
        <w:rPr>
          <w:rFonts w:hint="eastAsia" w:ascii="黑体" w:hAnsi="黑体" w:eastAsia="黑体" w:cs="黑体"/>
          <w:sz w:val="32"/>
          <w:szCs w:val="32"/>
        </w:rPr>
        <w:t>、依法履行职能，提升法治化水平</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lang w:val="en-US" w:eastAsia="zh-CN"/>
        </w:rPr>
        <w:t>（一）</w:t>
      </w:r>
      <w:r>
        <w:rPr>
          <w:rFonts w:hint="eastAsia" w:ascii="楷体" w:hAnsi="楷体" w:eastAsia="楷体" w:cs="楷体"/>
          <w:b/>
          <w:bCs/>
          <w:sz w:val="32"/>
          <w:szCs w:val="32"/>
        </w:rPr>
        <w:t>规范执法行为，守住法治底线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全面落实行政执法“三项制度”，推行执法全过程记录、重大执法决定法制审核常态化，全年审核重大执法案</w:t>
      </w:r>
      <w:r>
        <w:rPr>
          <w:rFonts w:hint="eastAsia" w:ascii="仿宋" w:hAnsi="仿宋" w:eastAsia="仿宋"/>
          <w:color w:val="auto"/>
          <w:sz w:val="32"/>
          <w:szCs w:val="32"/>
        </w:rPr>
        <w:t>件</w:t>
      </w:r>
      <w:r>
        <w:rPr>
          <w:rFonts w:hint="eastAsia" w:ascii="仿宋" w:hAnsi="仿宋" w:eastAsia="仿宋"/>
          <w:color w:val="auto"/>
          <w:sz w:val="32"/>
          <w:szCs w:val="32"/>
          <w:lang w:val="en-US" w:eastAsia="zh-CN"/>
        </w:rPr>
        <w:t>3</w:t>
      </w:r>
      <w:r>
        <w:rPr>
          <w:rFonts w:hint="eastAsia" w:ascii="仿宋" w:hAnsi="仿宋" w:eastAsia="仿宋"/>
          <w:color w:val="auto"/>
          <w:sz w:val="32"/>
          <w:szCs w:val="32"/>
        </w:rPr>
        <w:t>件</w:t>
      </w:r>
      <w:r>
        <w:rPr>
          <w:rFonts w:hint="eastAsia" w:ascii="仿宋" w:hAnsi="仿宋" w:eastAsia="仿宋"/>
          <w:sz w:val="32"/>
          <w:szCs w:val="32"/>
        </w:rPr>
        <w:t>。优化执法方式，推行柔性执法和轻微违法免罚清单，开展联合执法</w:t>
      </w:r>
      <w:r>
        <w:rPr>
          <w:rFonts w:hint="eastAsia" w:ascii="仿宋" w:hAnsi="仿宋" w:eastAsia="仿宋"/>
          <w:sz w:val="32"/>
          <w:szCs w:val="32"/>
          <w:lang w:val="en-US" w:eastAsia="zh-CN"/>
        </w:rPr>
        <w:t xml:space="preserve">2   </w:t>
      </w:r>
      <w:r>
        <w:rPr>
          <w:rFonts w:hint="eastAsia" w:ascii="仿宋" w:hAnsi="仿宋" w:eastAsia="仿宋"/>
          <w:color w:val="auto"/>
          <w:sz w:val="32"/>
          <w:szCs w:val="32"/>
        </w:rPr>
        <w:t>次</w:t>
      </w:r>
      <w:r>
        <w:rPr>
          <w:rFonts w:hint="eastAsia" w:ascii="仿宋" w:hAnsi="仿宋" w:eastAsia="仿宋"/>
          <w:sz w:val="32"/>
          <w:szCs w:val="32"/>
        </w:rPr>
        <w:t>，立案查处土地矿产违法案</w:t>
      </w:r>
      <w:r>
        <w:rPr>
          <w:rFonts w:hint="eastAsia" w:ascii="仿宋" w:hAnsi="仿宋" w:eastAsia="仿宋"/>
          <w:color w:val="000000" w:themeColor="text1"/>
          <w:sz w:val="32"/>
          <w:szCs w:val="32"/>
          <w14:textFill>
            <w14:solidFill>
              <w14:schemeClr w14:val="tx1"/>
            </w14:solidFill>
          </w14:textFill>
        </w:rPr>
        <w:t>件</w:t>
      </w:r>
      <w:r>
        <w:rPr>
          <w:rFonts w:hint="eastAsia" w:ascii="仿宋" w:hAnsi="仿宋" w:eastAsia="仿宋"/>
          <w:color w:val="000000" w:themeColor="text1"/>
          <w:sz w:val="32"/>
          <w:szCs w:val="32"/>
          <w:lang w:val="en-US" w:eastAsia="zh-CN"/>
          <w14:textFill>
            <w14:solidFill>
              <w14:schemeClr w14:val="tx1"/>
            </w14:solidFill>
          </w14:textFill>
        </w:rPr>
        <w:t>3</w:t>
      </w:r>
      <w:r>
        <w:rPr>
          <w:rFonts w:hint="eastAsia" w:ascii="仿宋" w:hAnsi="仿宋" w:eastAsia="仿宋"/>
          <w:color w:val="000000" w:themeColor="text1"/>
          <w:sz w:val="32"/>
          <w:szCs w:val="32"/>
          <w14:textFill>
            <w14:solidFill>
              <w14:schemeClr w14:val="tx1"/>
            </w14:solidFill>
          </w14:textFill>
        </w:rPr>
        <w:t>宗</w:t>
      </w:r>
      <w:r>
        <w:rPr>
          <w:rFonts w:hint="eastAsia" w:ascii="仿宋" w:hAnsi="仿宋" w:eastAsia="仿宋"/>
          <w:sz w:val="32"/>
          <w:szCs w:val="32"/>
        </w:rPr>
        <w:t>，收缴罚款</w:t>
      </w:r>
      <w:r>
        <w:rPr>
          <w:rFonts w:hint="eastAsia" w:ascii="仿宋" w:hAnsi="仿宋" w:eastAsia="仿宋"/>
          <w:color w:val="FF0000"/>
          <w:sz w:val="32"/>
          <w:szCs w:val="32"/>
          <w:lang w:val="en-US" w:eastAsia="zh-CN"/>
        </w:rPr>
        <w:t xml:space="preserve"> </w:t>
      </w:r>
      <w:r>
        <w:rPr>
          <w:rFonts w:hint="eastAsia" w:ascii="仿宋" w:hAnsi="仿宋" w:eastAsia="仿宋"/>
          <w:color w:val="000000" w:themeColor="text1"/>
          <w:sz w:val="32"/>
          <w:szCs w:val="32"/>
          <w:lang w:val="en-US" w:eastAsia="zh-CN"/>
          <w14:textFill>
            <w14:solidFill>
              <w14:schemeClr w14:val="tx1"/>
            </w14:solidFill>
          </w14:textFill>
        </w:rPr>
        <w:t xml:space="preserve">19.2 </w:t>
      </w:r>
      <w:r>
        <w:rPr>
          <w:rFonts w:hint="eastAsia" w:ascii="仿宋" w:hAnsi="仿宋" w:eastAsia="仿宋"/>
          <w:color w:val="auto"/>
          <w:sz w:val="32"/>
          <w:szCs w:val="32"/>
        </w:rPr>
        <w:t>万元</w:t>
      </w:r>
      <w:r>
        <w:rPr>
          <w:rFonts w:hint="eastAsia" w:ascii="仿宋" w:hAnsi="仿宋" w:eastAsia="仿宋"/>
          <w:sz w:val="32"/>
          <w:szCs w:val="32"/>
        </w:rPr>
        <w:t>，移送问题线</w:t>
      </w:r>
      <w:r>
        <w:rPr>
          <w:rFonts w:hint="eastAsia" w:ascii="仿宋" w:hAnsi="仿宋" w:eastAsia="仿宋"/>
          <w:color w:val="000000" w:themeColor="text1"/>
          <w:sz w:val="32"/>
          <w:szCs w:val="32"/>
          <w14:textFill>
            <w14:solidFill>
              <w14:schemeClr w14:val="tx1"/>
            </w14:solidFill>
          </w14:textFill>
        </w:rPr>
        <w:t>索</w:t>
      </w:r>
      <w:r>
        <w:rPr>
          <w:rFonts w:hint="eastAsia" w:ascii="仿宋" w:hAnsi="仿宋" w:eastAsia="仿宋"/>
          <w:color w:val="000000" w:themeColor="text1"/>
          <w:sz w:val="32"/>
          <w:szCs w:val="32"/>
          <w:lang w:val="en-US" w:eastAsia="zh-CN"/>
          <w14:textFill>
            <w14:solidFill>
              <w14:schemeClr w14:val="tx1"/>
            </w14:solidFill>
          </w14:textFill>
        </w:rPr>
        <w:t>7</w:t>
      </w:r>
      <w:r>
        <w:rPr>
          <w:rFonts w:hint="eastAsia" w:ascii="仿宋" w:hAnsi="仿宋" w:eastAsia="仿宋"/>
          <w:color w:val="000000" w:themeColor="text1"/>
          <w:sz w:val="32"/>
          <w:szCs w:val="32"/>
          <w14:textFill>
            <w14:solidFill>
              <w14:schemeClr w14:val="tx1"/>
            </w14:solidFill>
          </w14:textFill>
        </w:rPr>
        <w:t>条</w:t>
      </w:r>
      <w:r>
        <w:rPr>
          <w:rFonts w:hint="eastAsia" w:ascii="仿宋" w:hAnsi="仿宋" w:eastAsia="仿宋"/>
          <w:sz w:val="32"/>
          <w:szCs w:val="32"/>
        </w:rPr>
        <w:t>。强化执法队伍建设，组织执法培</w:t>
      </w:r>
      <w:r>
        <w:rPr>
          <w:rFonts w:hint="eastAsia" w:ascii="仿宋" w:hAnsi="仿宋" w:eastAsia="仿宋"/>
          <w:color w:val="000000" w:themeColor="text1"/>
          <w:sz w:val="32"/>
          <w:szCs w:val="32"/>
          <w14:textFill>
            <w14:solidFill>
              <w14:schemeClr w14:val="tx1"/>
            </w14:solidFill>
          </w14:textFill>
        </w:rPr>
        <w:t>训</w:t>
      </w:r>
      <w:r>
        <w:rPr>
          <w:rFonts w:hint="eastAsia" w:ascii="仿宋" w:hAnsi="仿宋" w:eastAsia="仿宋"/>
          <w:color w:val="000000" w:themeColor="text1"/>
          <w:sz w:val="32"/>
          <w:szCs w:val="32"/>
          <w:lang w:val="en-US" w:eastAsia="zh-CN"/>
          <w14:textFill>
            <w14:solidFill>
              <w14:schemeClr w14:val="tx1"/>
            </w14:solidFill>
          </w14:textFill>
        </w:rPr>
        <w:t xml:space="preserve"> 14</w:t>
      </w:r>
      <w:r>
        <w:rPr>
          <w:rFonts w:hint="eastAsia" w:ascii="仿宋" w:hAnsi="仿宋" w:eastAsia="仿宋"/>
          <w:color w:val="000000" w:themeColor="text1"/>
          <w:sz w:val="32"/>
          <w:szCs w:val="32"/>
          <w14:textFill>
            <w14:solidFill>
              <w14:schemeClr w14:val="tx1"/>
            </w14:solidFill>
          </w14:textFill>
        </w:rPr>
        <w:t>次</w:t>
      </w:r>
      <w:r>
        <w:rPr>
          <w:rFonts w:hint="eastAsia" w:ascii="仿宋" w:hAnsi="仿宋" w:eastAsia="仿宋"/>
          <w:sz w:val="32"/>
          <w:szCs w:val="32"/>
        </w:rPr>
        <w:t>，确</w:t>
      </w:r>
      <w:r>
        <w:rPr>
          <w:rFonts w:hint="eastAsia" w:ascii="仿宋" w:hAnsi="仿宋" w:eastAsia="仿宋"/>
          <w:color w:val="000000" w:themeColor="text1"/>
          <w:sz w:val="32"/>
          <w:szCs w:val="32"/>
          <w14:textFill>
            <w14:solidFill>
              <w14:schemeClr w14:val="tx1"/>
            </w14:solidFill>
          </w14:textFill>
        </w:rPr>
        <w:t>保</w:t>
      </w:r>
      <w:r>
        <w:rPr>
          <w:rFonts w:hint="eastAsia" w:ascii="仿宋" w:hAnsi="仿宋" w:eastAsia="仿宋"/>
          <w:color w:val="000000" w:themeColor="text1"/>
          <w:sz w:val="32"/>
          <w:szCs w:val="32"/>
          <w:lang w:val="en-US" w:eastAsia="zh-CN"/>
          <w14:textFill>
            <w14:solidFill>
              <w14:schemeClr w14:val="tx1"/>
            </w14:solidFill>
          </w14:textFill>
        </w:rPr>
        <w:t>22</w:t>
      </w:r>
      <w:r>
        <w:rPr>
          <w:rFonts w:hint="eastAsia" w:ascii="仿宋" w:hAnsi="仿宋" w:eastAsia="仿宋"/>
          <w:color w:val="000000" w:themeColor="text1"/>
          <w:sz w:val="32"/>
          <w:szCs w:val="32"/>
          <w14:textFill>
            <w14:solidFill>
              <w14:schemeClr w14:val="tx1"/>
            </w14:solidFill>
          </w14:textFill>
        </w:rPr>
        <w:t>名</w:t>
      </w:r>
      <w:r>
        <w:rPr>
          <w:rFonts w:hint="eastAsia" w:ascii="仿宋" w:hAnsi="仿宋" w:eastAsia="仿宋"/>
          <w:sz w:val="32"/>
          <w:szCs w:val="32"/>
        </w:rPr>
        <w:t>执法人员全部持证上岗。202</w:t>
      </w:r>
      <w:r>
        <w:rPr>
          <w:rFonts w:hint="eastAsia" w:ascii="仿宋" w:hAnsi="仿宋" w:eastAsia="仿宋"/>
          <w:sz w:val="32"/>
          <w:szCs w:val="32"/>
          <w:lang w:val="en-US" w:eastAsia="zh-CN"/>
        </w:rPr>
        <w:t>5</w:t>
      </w:r>
      <w:r>
        <w:rPr>
          <w:rFonts w:hint="eastAsia" w:ascii="仿宋" w:hAnsi="仿宋" w:eastAsia="仿宋"/>
          <w:sz w:val="32"/>
          <w:szCs w:val="32"/>
        </w:rPr>
        <w:t>年，我局</w:t>
      </w:r>
      <w:r>
        <w:rPr>
          <w:rFonts w:hint="eastAsia" w:ascii="仿宋" w:hAnsi="仿宋" w:eastAsia="仿宋"/>
          <w:sz w:val="32"/>
          <w:szCs w:val="32"/>
          <w:lang w:val="en-US" w:eastAsia="zh-CN"/>
        </w:rPr>
        <w:t>10</w:t>
      </w:r>
      <w:r>
        <w:rPr>
          <w:rFonts w:hint="eastAsia" w:ascii="仿宋" w:hAnsi="仿宋" w:eastAsia="仿宋"/>
          <w:sz w:val="32"/>
          <w:szCs w:val="32"/>
        </w:rPr>
        <w:t>余项重大决策均依法依规进行，未出现决策失误引发不良影响情况。</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sz w:val="32"/>
          <w:szCs w:val="32"/>
        </w:rPr>
      </w:pPr>
      <w:r>
        <w:rPr>
          <w:rFonts w:hint="eastAsia" w:ascii="楷体" w:hAnsi="楷体" w:eastAsia="楷体" w:cs="楷体"/>
          <w:b/>
          <w:bCs/>
          <w:sz w:val="32"/>
          <w:szCs w:val="32"/>
          <w:lang w:val="en-US" w:eastAsia="zh-CN"/>
        </w:rPr>
        <w:t>（二）优化政务服务，彰显法治温度</w:t>
      </w:r>
      <w:r>
        <w:rPr>
          <w:rFonts w:hint="eastAsia" w:ascii="仿宋" w:hAnsi="仿宋" w:eastAsia="仿宋"/>
          <w:sz w:val="32"/>
          <w:szCs w:val="32"/>
        </w:rPr>
        <w:t xml:space="preserve"> </w:t>
      </w:r>
    </w:p>
    <w:p>
      <w:pPr>
        <w:keepNext w:val="0"/>
        <w:keepLines w:val="0"/>
        <w:pageBreakBefore w:val="0"/>
        <w:wordWrap/>
        <w:overflowPunct/>
        <w:topLinePunct w:val="0"/>
        <w:bidi w:val="0"/>
        <w:spacing w:line="560" w:lineRule="exact"/>
        <w:ind w:firstLine="640" w:firstLineChars="200"/>
        <w:rPr>
          <w:rFonts w:hint="default" w:ascii="Times New Roman" w:hAnsi="Times New Roman" w:eastAsia="仿宋" w:cs="Times New Roman"/>
          <w:sz w:val="32"/>
          <w:szCs w:val="32"/>
        </w:rPr>
      </w:pPr>
      <w:r>
        <w:rPr>
          <w:rFonts w:hint="eastAsia" w:ascii="仿宋" w:hAnsi="仿宋" w:eastAsia="仿宋"/>
          <w:sz w:val="32"/>
          <w:szCs w:val="32"/>
        </w:rPr>
        <w:t>深化“放管服”改革，对用地预审、不动产登记等政务事项开展“四减”行动，实现“一网通办”“一窗通办”全覆盖。建立法律顾问全程参与机制，聘请专业律师1名，全年提供法律咨</w:t>
      </w:r>
      <w:r>
        <w:rPr>
          <w:rFonts w:hint="eastAsia" w:ascii="仿宋" w:hAnsi="仿宋" w:eastAsia="仿宋"/>
          <w:color w:val="000000" w:themeColor="text1"/>
          <w:sz w:val="32"/>
          <w:szCs w:val="32"/>
          <w14:textFill>
            <w14:solidFill>
              <w14:schemeClr w14:val="tx1"/>
            </w14:solidFill>
          </w14:textFill>
        </w:rPr>
        <w:t>询</w:t>
      </w:r>
      <w:r>
        <w:rPr>
          <w:rFonts w:hint="eastAsia" w:ascii="仿宋" w:hAnsi="仿宋" w:eastAsia="仿宋"/>
          <w:color w:val="000000" w:themeColor="text1"/>
          <w:sz w:val="32"/>
          <w:szCs w:val="32"/>
          <w:lang w:val="en-US" w:eastAsia="zh-CN"/>
          <w14:textFill>
            <w14:solidFill>
              <w14:schemeClr w14:val="tx1"/>
            </w14:solidFill>
          </w14:textFill>
        </w:rPr>
        <w:t xml:space="preserve">  11</w:t>
      </w:r>
      <w:r>
        <w:rPr>
          <w:rFonts w:hint="eastAsia" w:ascii="仿宋" w:hAnsi="仿宋" w:eastAsia="仿宋"/>
          <w:color w:val="000000" w:themeColor="text1"/>
          <w:sz w:val="32"/>
          <w:szCs w:val="32"/>
          <w14:textFill>
            <w14:solidFill>
              <w14:schemeClr w14:val="tx1"/>
            </w14:solidFill>
          </w14:textFill>
        </w:rPr>
        <w:t>件</w:t>
      </w:r>
      <w:r>
        <w:rPr>
          <w:rFonts w:hint="eastAsia" w:ascii="仿宋" w:hAnsi="仿宋" w:eastAsia="仿宋"/>
          <w:sz w:val="32"/>
          <w:szCs w:val="32"/>
        </w:rPr>
        <w:t>，参与重大合同</w:t>
      </w:r>
      <w:r>
        <w:rPr>
          <w:rFonts w:hint="eastAsia" w:ascii="仿宋" w:hAnsi="仿宋" w:eastAsia="仿宋"/>
          <w:color w:val="000000" w:themeColor="text1"/>
          <w:sz w:val="32"/>
          <w:szCs w:val="32"/>
          <w14:textFill>
            <w14:solidFill>
              <w14:schemeClr w14:val="tx1"/>
            </w14:solidFill>
          </w14:textFill>
        </w:rPr>
        <w:t>审定</w:t>
      </w:r>
      <w:r>
        <w:rPr>
          <w:rFonts w:hint="eastAsia" w:ascii="仿宋" w:hAnsi="仿宋" w:eastAsia="仿宋"/>
          <w:color w:val="000000" w:themeColor="text1"/>
          <w:sz w:val="32"/>
          <w:szCs w:val="32"/>
          <w:lang w:val="en-US" w:eastAsia="zh-CN"/>
          <w14:textFill>
            <w14:solidFill>
              <w14:schemeClr w14:val="tx1"/>
            </w14:solidFill>
          </w14:textFill>
        </w:rPr>
        <w:t xml:space="preserve"> 6 </w:t>
      </w:r>
      <w:r>
        <w:rPr>
          <w:rFonts w:hint="eastAsia" w:ascii="仿宋" w:hAnsi="仿宋" w:eastAsia="仿宋"/>
          <w:color w:val="000000" w:themeColor="text1"/>
          <w:sz w:val="32"/>
          <w:szCs w:val="32"/>
          <w14:textFill>
            <w14:solidFill>
              <w14:schemeClr w14:val="tx1"/>
            </w14:solidFill>
          </w14:textFill>
        </w:rPr>
        <w:t>件。为</w:t>
      </w:r>
      <w:r>
        <w:rPr>
          <w:rFonts w:hint="eastAsia" w:ascii="仿宋" w:hAnsi="仿宋" w:eastAsia="仿宋"/>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sz w:val="32"/>
          <w:szCs w:val="40"/>
          <w:lang w:val="en-US" w:eastAsia="zh-CN"/>
        </w:rPr>
        <w:t>4392</w:t>
      </w:r>
      <w:r>
        <w:rPr>
          <w:rFonts w:hint="eastAsia" w:ascii="仿宋" w:hAnsi="仿宋" w:eastAsia="仿宋"/>
          <w:color w:val="000000" w:themeColor="text1"/>
          <w:sz w:val="32"/>
          <w:szCs w:val="32"/>
          <w14:textFill>
            <w14:solidFill>
              <w14:schemeClr w14:val="tx1"/>
            </w14:solidFill>
          </w14:textFill>
        </w:rPr>
        <w:t>户</w:t>
      </w:r>
      <w:r>
        <w:rPr>
          <w:rFonts w:hint="eastAsia" w:ascii="仿宋" w:hAnsi="仿宋" w:eastAsia="仿宋"/>
          <w:sz w:val="32"/>
          <w:szCs w:val="32"/>
        </w:rPr>
        <w:t>业主办理不动产权证，依法化解信访矛</w:t>
      </w:r>
      <w:r>
        <w:rPr>
          <w:rFonts w:hint="eastAsia" w:ascii="仿宋" w:hAnsi="仿宋" w:eastAsia="仿宋"/>
          <w:color w:val="000000" w:themeColor="text1"/>
          <w:sz w:val="32"/>
          <w:szCs w:val="32"/>
          <w14:textFill>
            <w14:solidFill>
              <w14:schemeClr w14:val="tx1"/>
            </w14:solidFill>
          </w14:textFill>
        </w:rPr>
        <w:t>盾</w:t>
      </w:r>
      <w:r>
        <w:rPr>
          <w:rFonts w:hint="eastAsia" w:ascii="仿宋" w:hAnsi="仿宋" w:eastAsia="仿宋"/>
          <w:color w:val="000000" w:themeColor="text1"/>
          <w:sz w:val="32"/>
          <w:szCs w:val="32"/>
          <w:lang w:val="en-US" w:eastAsia="zh-CN"/>
          <w14:textFill>
            <w14:solidFill>
              <w14:schemeClr w14:val="tx1"/>
            </w14:solidFill>
          </w14:textFill>
        </w:rPr>
        <w:t>26</w:t>
      </w:r>
      <w:r>
        <w:rPr>
          <w:rFonts w:hint="eastAsia" w:ascii="仿宋" w:hAnsi="仿宋" w:eastAsia="仿宋"/>
          <w:color w:val="000000" w:themeColor="text1"/>
          <w:sz w:val="32"/>
          <w:szCs w:val="32"/>
          <w14:textFill>
            <w14:solidFill>
              <w14:schemeClr w14:val="tx1"/>
            </w14:solidFill>
          </w14:textFill>
        </w:rPr>
        <w:t>件</w:t>
      </w:r>
      <w:r>
        <w:rPr>
          <w:rFonts w:hint="eastAsia" w:ascii="仿宋" w:hAnsi="仿宋" w:eastAsia="仿宋"/>
          <w:sz w:val="32"/>
          <w:szCs w:val="32"/>
        </w:rPr>
        <w:t>，群众满意度持续提升。</w:t>
      </w:r>
      <w:r>
        <w:rPr>
          <w:rFonts w:hint="default" w:ascii="Times New Roman" w:hAnsi="Times New Roman" w:eastAsia="仿宋_GB2312" w:cs="Times New Roman"/>
          <w:color w:val="auto"/>
          <w:sz w:val="32"/>
          <w:szCs w:val="32"/>
          <w:lang w:val="en-US" w:eastAsia="zh-CN"/>
        </w:rPr>
        <w:t>同时，</w:t>
      </w:r>
      <w:r>
        <w:rPr>
          <w:rFonts w:hint="default" w:ascii="Times New Roman" w:hAnsi="Times New Roman" w:eastAsia="仿宋" w:cs="Times New Roman"/>
          <w:color w:val="auto"/>
          <w:sz w:val="32"/>
          <w:szCs w:val="32"/>
          <w:lang w:val="en-US" w:eastAsia="zh-CN"/>
        </w:rPr>
        <w:t>按照自然资源部和省自然资源厅关于加快推进存量问题整改处置工作的要求，积极推进</w:t>
      </w:r>
      <w:r>
        <w:rPr>
          <w:rFonts w:hint="default" w:ascii="Times New Roman" w:hAnsi="Times New Roman" w:eastAsia="仿宋_GB2312" w:cs="Times New Roman"/>
          <w:color w:val="auto"/>
          <w:sz w:val="32"/>
          <w:szCs w:val="32"/>
        </w:rPr>
        <w:t>2018年至202</w:t>
      </w:r>
      <w:r>
        <w:rPr>
          <w:rFonts w:hint="default"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rPr>
        <w:t>年违法违规占用耕地未整改到位存量问题</w:t>
      </w:r>
      <w:r>
        <w:rPr>
          <w:rFonts w:hint="default" w:ascii="Times New Roman" w:hAnsi="Times New Roman" w:eastAsia="仿宋_GB2312" w:cs="Times New Roman"/>
          <w:color w:val="auto"/>
          <w:sz w:val="32"/>
          <w:szCs w:val="32"/>
          <w:lang w:val="en-US" w:eastAsia="zh-CN"/>
        </w:rPr>
        <w:t>处置工作，目前已整改到位11个问题，累计整改耕地面积98.33亩。</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sz w:val="32"/>
          <w:szCs w:val="32"/>
        </w:rPr>
      </w:pPr>
      <w:r>
        <w:rPr>
          <w:rFonts w:hint="eastAsia" w:ascii="楷体" w:hAnsi="楷体" w:eastAsia="楷体" w:cs="楷体"/>
          <w:b/>
          <w:bCs/>
          <w:sz w:val="32"/>
          <w:szCs w:val="32"/>
        </w:rPr>
        <w:t>（三）严格资源管控，践行法治理念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以法治手段守护耕地红线，开展耕地保护专项执法行动，</w:t>
      </w:r>
      <w:r>
        <w:rPr>
          <w:rFonts w:hint="eastAsia" w:ascii="Times New Roman" w:hAnsi="Times New Roman" w:eastAsia="仿宋_GB2312" w:cs="Times New Roman"/>
          <w:b/>
          <w:bCs/>
          <w:color w:val="auto"/>
          <w:sz w:val="32"/>
          <w:szCs w:val="32"/>
          <w:lang w:val="en-US" w:eastAsia="zh-CN"/>
        </w:rPr>
        <w:t>一是</w:t>
      </w:r>
      <w:r>
        <w:rPr>
          <w:rFonts w:hint="eastAsia" w:ascii="Times New Roman" w:hAnsi="Times New Roman" w:eastAsia="仿宋_GB2312" w:cs="Times New Roman"/>
          <w:b w:val="0"/>
          <w:bCs w:val="0"/>
          <w:color w:val="auto"/>
          <w:sz w:val="32"/>
          <w:szCs w:val="32"/>
          <w:lang w:val="en-US" w:eastAsia="zh-CN"/>
        </w:rPr>
        <w:t>2024</w:t>
      </w:r>
      <w:r>
        <w:rPr>
          <w:rFonts w:hint="eastAsia" w:ascii="Times New Roman" w:hAnsi="Times New Roman" w:eastAsia="仿宋_GB2312" w:cs="Times New Roman"/>
          <w:b/>
          <w:bCs/>
          <w:color w:val="auto"/>
          <w:sz w:val="32"/>
          <w:szCs w:val="32"/>
          <w:lang w:val="en-US" w:eastAsia="zh-CN"/>
        </w:rPr>
        <w:t>年国家年度土地卫片执法：</w:t>
      </w:r>
      <w:r>
        <w:rPr>
          <w:rFonts w:hint="eastAsia" w:ascii="Times New Roman" w:hAnsi="Times New Roman" w:eastAsia="仿宋_GB2312" w:cs="Times New Roman"/>
          <w:color w:val="auto"/>
          <w:sz w:val="32"/>
          <w:szCs w:val="32"/>
          <w:lang w:val="en-US" w:eastAsia="zh-CN"/>
        </w:rPr>
        <w:t>2024年11月底收到国家下发图斑2588个，总监测面积8274.55亩，其中耕地面积2409.33亩。我中心组织各乡镇逐图斑进行核实，并根据图斑实际情况进行合理拆分，拆分后图斑总数为2739个，其中用地性质无变化图斑1700个、耕地1859.4亩，新增建设占用图斑1039个、耕地549.93亩。新增建设占用图斑经举证和整改处置，965个图斑通过省级合法性审核，耕地面积548.85亩；判定为违法图斑3个，耕地面积1.08亩，占新增建设用地图斑耕地总面积的0.2%，耕地违法比例为历年来最低。工作成果已于2025年2月15日按期提交至国家。</w:t>
      </w:r>
      <w:r>
        <w:rPr>
          <w:rFonts w:hint="eastAsia" w:ascii="Times New Roman" w:hAnsi="Times New Roman" w:eastAsia="仿宋_GB2312" w:cs="Times New Roman"/>
          <w:b/>
          <w:bCs/>
          <w:color w:val="auto"/>
          <w:sz w:val="32"/>
          <w:szCs w:val="32"/>
          <w:lang w:val="en-US" w:eastAsia="zh-CN"/>
        </w:rPr>
        <w:t>二是扎实开展殡葬领域专项治理。</w:t>
      </w:r>
      <w:r>
        <w:rPr>
          <w:rFonts w:hint="eastAsia" w:ascii="Times New Roman" w:hAnsi="Times New Roman" w:eastAsia="仿宋_GB2312" w:cs="Times New Roman"/>
          <w:color w:val="auto"/>
          <w:sz w:val="32"/>
          <w:szCs w:val="32"/>
          <w:lang w:val="en-US" w:eastAsia="zh-CN"/>
        </w:rPr>
        <w:t>做好纪委交办的殡葬设施违法占地问题核实处置，共处理问题7起，其中按照执法权限移交林业部门处理3起，我局依法查处4起，共收缴罚款149960元，退还买卖墓地费用97500元，恢复耕地0.47亩，向乡镇政府发送督察建议1份。</w:t>
      </w:r>
      <w:r>
        <w:rPr>
          <w:rFonts w:hint="eastAsia" w:ascii="Times New Roman" w:hAnsi="Times New Roman" w:eastAsia="仿宋_GB2312" w:cs="Times New Roman"/>
          <w:b/>
          <w:bCs/>
          <w:color w:val="auto"/>
          <w:sz w:val="32"/>
          <w:szCs w:val="32"/>
          <w:lang w:val="en-US" w:eastAsia="zh-CN"/>
        </w:rPr>
        <w:t>三是尽职尽责维护自然资源管理秩序。</w:t>
      </w:r>
      <w:r>
        <w:rPr>
          <w:rFonts w:hint="eastAsia" w:ascii="Times New Roman" w:hAnsi="Times New Roman" w:eastAsia="仿宋_GB2312" w:cs="Times New Roman"/>
          <w:color w:val="auto"/>
          <w:sz w:val="32"/>
          <w:szCs w:val="32"/>
          <w:lang w:val="en-US" w:eastAsia="zh-CN"/>
        </w:rPr>
        <w:t>加强对辖区内自然资源违法违规行为监督，今年以来共办理涉矿案件3起、墓地买卖案件2起。为有效打击盗采矿产资源多发频发势头，联合公安机关和乡镇政府及时处置了木桐乡拐峪村矿产资源盗采、朱阳关镇涧北沟金矿资源盗采等问题，依法拘留3人。</w:t>
      </w:r>
      <w:r>
        <w:rPr>
          <w:rFonts w:hint="eastAsia" w:ascii="仿宋" w:hAnsi="仿宋" w:eastAsia="仿宋"/>
          <w:sz w:val="32"/>
          <w:szCs w:val="32"/>
        </w:rPr>
        <w:t>规范信息公开工作，由政策法规股统一牵头办理依申请公开事</w:t>
      </w:r>
      <w:r>
        <w:rPr>
          <w:rFonts w:hint="eastAsia" w:ascii="仿宋" w:hAnsi="仿宋" w:eastAsia="仿宋"/>
          <w:color w:val="000000" w:themeColor="text1"/>
          <w:sz w:val="32"/>
          <w:szCs w:val="32"/>
          <w14:textFill>
            <w14:solidFill>
              <w14:schemeClr w14:val="tx1"/>
            </w14:solidFill>
          </w14:textFill>
        </w:rPr>
        <w:t>项</w:t>
      </w:r>
      <w:r>
        <w:rPr>
          <w:rFonts w:hint="eastAsia" w:ascii="仿宋" w:hAnsi="仿宋" w:eastAsia="仿宋"/>
          <w:color w:val="000000" w:themeColor="text1"/>
          <w:sz w:val="32"/>
          <w:szCs w:val="32"/>
          <w:lang w:val="en-US" w:eastAsia="zh-CN"/>
          <w14:textFill>
            <w14:solidFill>
              <w14:schemeClr w14:val="tx1"/>
            </w14:solidFill>
          </w14:textFill>
        </w:rPr>
        <w:t>3</w:t>
      </w:r>
      <w:r>
        <w:rPr>
          <w:rFonts w:hint="eastAsia" w:ascii="仿宋" w:hAnsi="仿宋" w:eastAsia="仿宋"/>
          <w:color w:val="000000" w:themeColor="text1"/>
          <w:sz w:val="32"/>
          <w:szCs w:val="32"/>
          <w14:textFill>
            <w14:solidFill>
              <w14:schemeClr w14:val="tx1"/>
            </w14:solidFill>
          </w14:textFill>
        </w:rPr>
        <w:t>件，</w:t>
      </w:r>
      <w:r>
        <w:rPr>
          <w:rFonts w:hint="eastAsia" w:ascii="仿宋" w:hAnsi="仿宋" w:eastAsia="仿宋"/>
          <w:sz w:val="32"/>
          <w:szCs w:val="32"/>
        </w:rPr>
        <w:t>做到依法答复、规范回应，有效降低行政争议风险。</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w:t>
      </w:r>
      <w:r>
        <w:rPr>
          <w:rFonts w:hint="eastAsia" w:ascii="楷体" w:hAnsi="楷体" w:eastAsia="楷体" w:cs="楷体"/>
          <w:b/>
          <w:bCs/>
          <w:sz w:val="32"/>
          <w:szCs w:val="32"/>
          <w:lang w:val="en-US" w:eastAsia="zh-CN"/>
        </w:rPr>
        <w:t>四</w:t>
      </w:r>
      <w:r>
        <w:rPr>
          <w:rFonts w:hint="eastAsia" w:ascii="楷体" w:hAnsi="楷体" w:eastAsia="楷体" w:cs="楷体"/>
          <w:b/>
          <w:bCs/>
          <w:sz w:val="32"/>
          <w:szCs w:val="32"/>
          <w:lang w:eastAsia="zh-CN"/>
        </w:rPr>
        <w:t>）</w:t>
      </w:r>
      <w:r>
        <w:rPr>
          <w:rFonts w:hint="eastAsia" w:ascii="楷体" w:hAnsi="楷体" w:eastAsia="楷体" w:cs="楷体"/>
          <w:b/>
          <w:bCs/>
          <w:sz w:val="32"/>
          <w:szCs w:val="32"/>
          <w:lang w:val="en-US" w:eastAsia="zh-CN"/>
        </w:rPr>
        <w:t>强化行政调解</w:t>
      </w:r>
      <w:r>
        <w:rPr>
          <w:rFonts w:hint="eastAsia" w:ascii="楷体" w:hAnsi="楷体" w:eastAsia="楷体" w:cs="楷体"/>
          <w:b/>
          <w:bCs/>
          <w:sz w:val="32"/>
          <w:szCs w:val="32"/>
          <w:lang w:eastAsia="zh-CN"/>
        </w:rPr>
        <w:t>，</w:t>
      </w:r>
      <w:r>
        <w:rPr>
          <w:rFonts w:hint="eastAsia" w:ascii="楷体" w:hAnsi="楷体" w:eastAsia="楷体" w:cs="楷体"/>
          <w:b/>
          <w:bCs/>
          <w:sz w:val="32"/>
          <w:szCs w:val="32"/>
        </w:rPr>
        <w:t>促进社会和谐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theme="minorBidi"/>
          <w:sz w:val="32"/>
          <w:szCs w:val="32"/>
        </w:rPr>
      </w:pPr>
      <w:r>
        <w:rPr>
          <w:rFonts w:hint="eastAsia" w:ascii="仿宋" w:hAnsi="仿宋" w:eastAsia="仿宋" w:cs="仿宋"/>
          <w:color w:val="000000" w:themeColor="text1"/>
          <w:sz w:val="32"/>
          <w:szCs w:val="32"/>
          <w14:textFill>
            <w14:solidFill>
              <w14:schemeClr w14:val="tx1"/>
            </w14:solidFill>
          </w14:textFill>
        </w:rPr>
        <w:t>严格</w:t>
      </w:r>
      <w:r>
        <w:rPr>
          <w:rFonts w:hint="eastAsia" w:ascii="仿宋" w:hAnsi="仿宋" w:eastAsia="仿宋" w:cs="仿宋"/>
          <w:color w:val="000000" w:themeColor="text1"/>
          <w:sz w:val="32"/>
          <w:szCs w:val="32"/>
          <w:lang w:val="en-US" w:eastAsia="zh-CN"/>
          <w14:textFill>
            <w14:solidFill>
              <w14:schemeClr w14:val="tx1"/>
            </w14:solidFill>
          </w14:textFill>
        </w:rPr>
        <w:t>按照</w:t>
      </w:r>
      <w:r>
        <w:rPr>
          <w:rFonts w:hint="eastAsia" w:ascii="仿宋" w:hAnsi="仿宋" w:eastAsia="仿宋" w:cs="仿宋"/>
          <w:color w:val="000000" w:themeColor="text1"/>
          <w:sz w:val="32"/>
          <w:szCs w:val="32"/>
          <w14:textFill>
            <w14:solidFill>
              <w14:schemeClr w14:val="tx1"/>
            </w14:solidFill>
          </w14:textFill>
        </w:rPr>
        <w:t>我省规范涉企行政执法六条措施中“加强行政检查统筹”的要求</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以“监管效能最大化、对市场主体干扰最小化”为目标，细化任务清单，</w:t>
      </w:r>
      <w:r>
        <w:rPr>
          <w:rFonts w:hint="eastAsia" w:ascii="仿宋" w:hAnsi="仿宋" w:eastAsia="仿宋"/>
          <w:sz w:val="32"/>
          <w:szCs w:val="32"/>
        </w:rPr>
        <w:t>实现行政检查事项“双随机、一公开”监管全覆盖。</w:t>
      </w:r>
      <w:r>
        <w:rPr>
          <w:rFonts w:hint="eastAsia" w:ascii="仿宋" w:hAnsi="仿宋" w:eastAsia="仿宋"/>
          <w:color w:val="000000" w:themeColor="text1"/>
          <w:sz w:val="32"/>
          <w:szCs w:val="32"/>
          <w14:textFill>
            <w14:solidFill>
              <w14:schemeClr w14:val="tx1"/>
            </w14:solidFill>
          </w14:textFill>
        </w:rPr>
        <w:t>一年来共开展“双随机、一公开”监督监察</w:t>
      </w:r>
      <w:r>
        <w:rPr>
          <w:rFonts w:hint="eastAsia" w:ascii="仿宋" w:hAnsi="仿宋" w:eastAsia="仿宋"/>
          <w:color w:val="000000" w:themeColor="text1"/>
          <w:sz w:val="32"/>
          <w:szCs w:val="32"/>
          <w:lang w:val="en-US" w:eastAsia="zh-CN"/>
          <w14:textFill>
            <w14:solidFill>
              <w14:schemeClr w14:val="tx1"/>
            </w14:solidFill>
          </w14:textFill>
        </w:rPr>
        <w:t>3</w:t>
      </w:r>
      <w:r>
        <w:rPr>
          <w:rFonts w:hint="eastAsia" w:ascii="仿宋" w:hAnsi="仿宋" w:eastAsia="仿宋"/>
          <w:color w:val="000000" w:themeColor="text1"/>
          <w:sz w:val="32"/>
          <w:szCs w:val="32"/>
          <w14:textFill>
            <w14:solidFill>
              <w14:schemeClr w14:val="tx1"/>
            </w14:solidFill>
          </w14:textFill>
        </w:rPr>
        <w:t>次</w:t>
      </w:r>
      <w:r>
        <w:rPr>
          <w:rFonts w:hint="eastAsia" w:ascii="仿宋" w:hAnsi="仿宋" w:eastAsia="仿宋"/>
          <w:color w:val="000000" w:themeColor="text1"/>
          <w:sz w:val="32"/>
          <w:szCs w:val="32"/>
          <w:lang w:eastAsia="zh-CN"/>
          <w14:textFill>
            <w14:solidFill>
              <w14:schemeClr w14:val="tx1"/>
            </w14:solidFill>
          </w14:textFill>
        </w:rPr>
        <w:t>；</w:t>
      </w:r>
      <w:r>
        <w:rPr>
          <w:rFonts w:hint="eastAsia" w:ascii="仿宋_GB2312" w:hAnsi="仿宋_GB2312" w:eastAsia="仿宋_GB2312" w:cs="仿宋_GB2312"/>
          <w:sz w:val="32"/>
          <w:szCs w:val="32"/>
        </w:rPr>
        <w:t>行政诉讼案件1</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其中</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起驳回诉讼请求，</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起</w:t>
      </w:r>
      <w:r>
        <w:rPr>
          <w:rFonts w:hint="eastAsia" w:ascii="仿宋_GB2312" w:hAnsi="仿宋_GB2312" w:eastAsia="仿宋_GB2312" w:cs="仿宋_GB2312"/>
          <w:sz w:val="32"/>
          <w:szCs w:val="32"/>
          <w:lang w:eastAsia="zh-CN"/>
        </w:rPr>
        <w:t>维持一审判决</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起尚未审结</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；行政复议案件</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2起维持原决定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起驳回复议申请，</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起当事人撤销复议申请）；</w:t>
      </w:r>
      <w:r>
        <w:rPr>
          <w:rFonts w:hint="eastAsia" w:ascii="仿宋" w:hAnsi="仿宋" w:eastAsia="仿宋"/>
          <w:sz w:val="32"/>
          <w:szCs w:val="32"/>
        </w:rPr>
        <w:t>办理依申请公开件答复</w:t>
      </w:r>
      <w:r>
        <w:rPr>
          <w:rFonts w:hint="eastAsia" w:ascii="仿宋" w:hAnsi="仿宋" w:eastAsia="仿宋"/>
          <w:sz w:val="32"/>
          <w:szCs w:val="32"/>
          <w:lang w:val="en-US" w:eastAsia="zh-CN"/>
        </w:rPr>
        <w:t>3</w:t>
      </w:r>
      <w:r>
        <w:rPr>
          <w:rFonts w:hint="eastAsia" w:ascii="仿宋" w:hAnsi="仿宋" w:eastAsia="仿宋"/>
          <w:sz w:val="32"/>
          <w:szCs w:val="32"/>
        </w:rPr>
        <w:t>件</w:t>
      </w:r>
      <w:r>
        <w:rPr>
          <w:rFonts w:hint="eastAsia" w:ascii="仿宋" w:hAnsi="仿宋" w:eastAsia="仿宋"/>
          <w:sz w:val="32"/>
          <w:szCs w:val="32"/>
          <w:lang w:eastAsia="zh-CN"/>
        </w:rPr>
        <w:t>、</w:t>
      </w:r>
      <w:r>
        <w:rPr>
          <w:rFonts w:hint="eastAsia" w:ascii="仿宋" w:hAnsi="仿宋" w:eastAsia="仿宋" w:cstheme="minorBidi"/>
          <w:sz w:val="32"/>
          <w:szCs w:val="32"/>
        </w:rPr>
        <w:t>协调处理网络舆情等案件</w:t>
      </w:r>
      <w:r>
        <w:rPr>
          <w:rFonts w:hint="eastAsia" w:ascii="仿宋" w:hAnsi="仿宋" w:eastAsia="仿宋" w:cstheme="minorBidi"/>
          <w:sz w:val="32"/>
          <w:szCs w:val="32"/>
          <w:lang w:val="en-US" w:eastAsia="zh-CN"/>
        </w:rPr>
        <w:t>9</w:t>
      </w:r>
      <w:r>
        <w:rPr>
          <w:rFonts w:hint="eastAsia" w:ascii="仿宋" w:hAnsi="仿宋" w:eastAsia="仿宋" w:cstheme="minorBidi"/>
          <w:sz w:val="32"/>
          <w:szCs w:val="32"/>
        </w:rPr>
        <w:t>起，及时果断，认真细致做好当事人政策宣传解释工作，消除负面舆情影响。</w:t>
      </w:r>
    </w:p>
    <w:p>
      <w:pPr>
        <w:keepNext w:val="0"/>
        <w:keepLines w:val="0"/>
        <w:pageBreakBefore w:val="0"/>
        <w:widowControl w:val="0"/>
        <w:kinsoku/>
        <w:wordWrap/>
        <w:overflowPunct/>
        <w:topLinePunct w:val="0"/>
        <w:autoSpaceDN/>
        <w:bidi w:val="0"/>
        <w:adjustRightInd/>
        <w:snapToGrid/>
        <w:spacing w:line="560"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w:t>
      </w:r>
      <w:r>
        <w:rPr>
          <w:rFonts w:hint="eastAsia" w:ascii="楷体" w:hAnsi="楷体" w:eastAsia="楷体" w:cs="楷体"/>
          <w:b/>
          <w:bCs/>
          <w:sz w:val="32"/>
          <w:szCs w:val="32"/>
          <w:lang w:eastAsia="zh-CN"/>
        </w:rPr>
        <w:t>五</w:t>
      </w:r>
      <w:r>
        <w:rPr>
          <w:rFonts w:hint="eastAsia" w:ascii="楷体" w:hAnsi="楷体" w:eastAsia="楷体" w:cs="楷体"/>
          <w:b/>
          <w:bCs/>
          <w:sz w:val="32"/>
          <w:szCs w:val="32"/>
        </w:rPr>
        <w:t>）加强领导，完善法治政府建设保障机制</w:t>
      </w:r>
    </w:p>
    <w:p>
      <w:pPr>
        <w:keepNext w:val="0"/>
        <w:keepLines w:val="0"/>
        <w:pageBreakBefore w:val="0"/>
        <w:widowControl w:val="0"/>
        <w:kinsoku/>
        <w:wordWrap/>
        <w:overflowPunct/>
        <w:topLinePunct w:val="0"/>
        <w:autoSpaceDN/>
        <w:bidi w:val="0"/>
        <w:adjustRightInd/>
        <w:snapToGrid/>
        <w:spacing w:line="560" w:lineRule="exact"/>
        <w:ind w:firstLine="640" w:firstLineChars="200"/>
        <w:textAlignment w:val="auto"/>
        <w:rPr>
          <w:rFonts w:ascii="仿宋_GB2312" w:hAnsi="仿宋" w:eastAsia="仿宋_GB2312" w:cs="Times New Roman"/>
          <w:kern w:val="2"/>
          <w:sz w:val="32"/>
          <w:szCs w:val="32"/>
        </w:rPr>
      </w:pPr>
      <w:r>
        <w:rPr>
          <w:rFonts w:hint="eastAsia" w:ascii="仿宋_GB2312" w:hAnsi="仿宋" w:eastAsia="仿宋_GB2312" w:cs="Times New Roman"/>
          <w:sz w:val="32"/>
          <w:szCs w:val="32"/>
        </w:rPr>
        <w:t>加强党对法治政府建设的领导。认真履行推进本部门法治政府建设的主体职责，主要负责人认真履行第一责任人职责，领导带头自觉尊法学法守法用法，将法治工作纳入全局工作计划，党组主要负责人每季度召开1次部署安排法治年度重点工作的专题会议，制订并组织实施法治工作计划。</w:t>
      </w:r>
      <w:r>
        <w:rPr>
          <w:rFonts w:hint="eastAsia" w:ascii="仿宋_GB2312" w:hAnsi="仿宋" w:eastAsia="仿宋_GB2312" w:cs="Times New Roman"/>
          <w:kern w:val="2"/>
          <w:sz w:val="32"/>
          <w:szCs w:val="32"/>
        </w:rPr>
        <w:t>加强队伍建设机制。一是加强法治机构建设，建强法治工作队伍，保障法治政府建设工作所需经费，充实人员力量。二是提升行政执法人员依法行政能力。全年因人事调整注销行政执法证件</w:t>
      </w:r>
      <w:r>
        <w:rPr>
          <w:rFonts w:hint="eastAsia" w:ascii="仿宋_GB2312" w:hAnsi="仿宋" w:eastAsia="仿宋_GB2312" w:cs="Times New Roman"/>
          <w:kern w:val="2"/>
          <w:sz w:val="32"/>
          <w:szCs w:val="32"/>
          <w:lang w:val="en-US" w:eastAsia="zh-CN"/>
        </w:rPr>
        <w:t>6</w:t>
      </w:r>
      <w:r>
        <w:rPr>
          <w:rFonts w:hint="eastAsia" w:ascii="仿宋_GB2312" w:hAnsi="仿宋" w:eastAsia="仿宋_GB2312" w:cs="Times New Roman"/>
          <w:kern w:val="2"/>
          <w:sz w:val="32"/>
          <w:szCs w:val="32"/>
        </w:rPr>
        <w:t>件，目前共有行政执法人员2</w:t>
      </w:r>
      <w:r>
        <w:rPr>
          <w:rFonts w:hint="eastAsia" w:ascii="仿宋_GB2312" w:hAnsi="仿宋" w:eastAsia="仿宋_GB2312" w:cs="Times New Roman"/>
          <w:kern w:val="2"/>
          <w:sz w:val="32"/>
          <w:szCs w:val="32"/>
          <w:lang w:val="en-US" w:eastAsia="zh-CN"/>
        </w:rPr>
        <w:t>2</w:t>
      </w:r>
      <w:r>
        <w:rPr>
          <w:rFonts w:hint="eastAsia" w:ascii="仿宋_GB2312" w:hAnsi="仿宋" w:eastAsia="仿宋_GB2312" w:cs="Times New Roman"/>
          <w:kern w:val="2"/>
          <w:sz w:val="32"/>
          <w:szCs w:val="32"/>
        </w:rPr>
        <w:t>名，及时保障我局行政执法人员合法规范，满足行政执法要求。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四</w:t>
      </w:r>
      <w:r>
        <w:rPr>
          <w:rFonts w:hint="eastAsia" w:ascii="黑体" w:hAnsi="黑体" w:eastAsia="黑体" w:cs="黑体"/>
          <w:sz w:val="32"/>
          <w:szCs w:val="32"/>
          <w:lang w:eastAsia="zh-CN"/>
        </w:rPr>
        <w:t>、</w:t>
      </w:r>
      <w:r>
        <w:rPr>
          <w:rFonts w:hint="eastAsia" w:ascii="黑体" w:hAnsi="黑体" w:eastAsia="黑体" w:cs="黑体"/>
          <w:sz w:val="32"/>
          <w:szCs w:val="32"/>
        </w:rPr>
        <w:t>加强法治宣传，营造良好法治</w:t>
      </w:r>
      <w:r>
        <w:rPr>
          <w:rFonts w:hint="eastAsia" w:ascii="黑体" w:hAnsi="黑体" w:eastAsia="黑体" w:cs="黑体"/>
          <w:sz w:val="32"/>
          <w:szCs w:val="32"/>
          <w:lang w:val="en-US" w:eastAsia="zh-CN"/>
        </w:rPr>
        <w:t>环境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sz w:val="32"/>
          <w:szCs w:val="32"/>
          <w:lang w:val="en-US" w:eastAsia="zh-CN"/>
        </w:rPr>
        <w:t>严格</w:t>
      </w:r>
      <w:r>
        <w:rPr>
          <w:rFonts w:hint="eastAsia" w:ascii="仿宋" w:hAnsi="仿宋" w:eastAsia="仿宋"/>
          <w:sz w:val="32"/>
          <w:szCs w:val="32"/>
        </w:rPr>
        <w:t>落实“谁执法谁普法”责任制，结合“4·22”地球日、“6·25”土地日、“8.29”测绘法宣传日、“12.4”国家宪法日等节点，通过现场咨询、发放宣传资料、举办知识讲座等方式开展形式多样的法治宣传活动。</w:t>
      </w:r>
      <w:r>
        <w:rPr>
          <w:rFonts w:hint="eastAsia" w:ascii="仿宋" w:hAnsi="仿宋" w:eastAsia="仿宋"/>
          <w:sz w:val="32"/>
          <w:szCs w:val="32"/>
          <w:lang w:val="en-US" w:eastAsia="zh-CN"/>
        </w:rPr>
        <w:t>2025年</w:t>
      </w:r>
      <w:r>
        <w:rPr>
          <w:rFonts w:hint="eastAsia" w:ascii="仿宋" w:hAnsi="仿宋" w:eastAsia="仿宋" w:cs="仿宋"/>
          <w:sz w:val="32"/>
          <w:szCs w:val="32"/>
          <w:lang w:val="en-US" w:eastAsia="zh-CN"/>
        </w:rPr>
        <w:t>开展</w:t>
      </w:r>
      <w:r>
        <w:rPr>
          <w:rFonts w:hint="eastAsia" w:ascii="仿宋_GB2312" w:hAnsi="仿宋_GB2312" w:eastAsia="仿宋_GB2312" w:cs="仿宋_GB2312"/>
          <w:sz w:val="32"/>
          <w:szCs w:val="32"/>
          <w:lang w:val="en-US" w:eastAsia="zh-CN"/>
        </w:rPr>
        <w:t>自然资源政策法规</w:t>
      </w:r>
      <w:r>
        <w:rPr>
          <w:rFonts w:hint="eastAsia" w:ascii="仿宋" w:hAnsi="仿宋" w:eastAsia="仿宋" w:cs="仿宋"/>
          <w:sz w:val="32"/>
          <w:szCs w:val="32"/>
          <w:lang w:val="en-US" w:eastAsia="zh-CN"/>
        </w:rPr>
        <w:t>宣讲10余次，宣讲对象2000人左右；政策推送420余次，发放签订告知书、承诺书共3万余份，受教育群众近5万人；政策培训150余场次，培训对象1万余人次。我局的政策法规宣传培训工作每个月都在全市名列前茅，受到市局肯定和高度评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五</w:t>
      </w:r>
      <w:r>
        <w:rPr>
          <w:rFonts w:hint="eastAsia" w:ascii="黑体" w:hAnsi="黑体" w:eastAsia="黑体" w:cs="黑体"/>
          <w:sz w:val="32"/>
          <w:szCs w:val="32"/>
        </w:rPr>
        <w:t>、</w:t>
      </w:r>
      <w:r>
        <w:rPr>
          <w:rFonts w:hint="eastAsia" w:ascii="黑体" w:hAnsi="黑体" w:eastAsia="黑体" w:cs="黑体"/>
          <w:sz w:val="32"/>
          <w:szCs w:val="32"/>
          <w:lang w:val="en-US" w:eastAsia="zh-CN"/>
        </w:rPr>
        <w:t>存在的主要问题</w:t>
      </w:r>
    </w:p>
    <w:p>
      <w:pPr>
        <w:pStyle w:val="6"/>
        <w:keepNext w:val="0"/>
        <w:keepLines w:val="0"/>
        <w:pageBreakBefore w:val="0"/>
        <w:widowControl w:val="0"/>
        <w:shd w:val="clear" w:color="auto" w:fill="FFFFFF"/>
        <w:kinsoku/>
        <w:wordWrap/>
        <w:overflowPunct/>
        <w:topLinePunct w:val="0"/>
        <w:autoSpaceDE w:val="0"/>
        <w:autoSpaceDN/>
        <w:bidi w:val="0"/>
        <w:adjustRightInd/>
        <w:snapToGrid/>
        <w:spacing w:line="560" w:lineRule="exact"/>
        <w:ind w:firstLine="640" w:firstLineChars="200"/>
        <w:jc w:val="both"/>
        <w:textAlignment w:val="auto"/>
        <w:rPr>
          <w:rFonts w:ascii="仿宋_GB2312" w:hAnsi="仿宋" w:eastAsia="仿宋_GB2312" w:cs="Times New Roman"/>
          <w:kern w:val="2"/>
          <w:sz w:val="32"/>
          <w:szCs w:val="32"/>
        </w:rPr>
      </w:pPr>
      <w:r>
        <w:rPr>
          <w:rFonts w:hint="eastAsia" w:ascii="仿宋" w:hAnsi="仿宋" w:eastAsia="仿宋"/>
          <w:sz w:val="32"/>
          <w:szCs w:val="32"/>
          <w:lang w:val="en-US" w:eastAsia="zh-CN"/>
        </w:rPr>
        <w:t>一是法治实践转化能力有待提升，部分干部运用法治思维解决复杂问题的能力不足；</w:t>
      </w:r>
      <w:r>
        <w:rPr>
          <w:rFonts w:hint="eastAsia" w:ascii="仿宋_GB2312" w:hAnsi="仿宋" w:eastAsia="仿宋_GB2312" w:cs="Times New Roman"/>
          <w:kern w:val="2"/>
          <w:sz w:val="32"/>
          <w:szCs w:val="32"/>
        </w:rPr>
        <w:t>在法治政府建设的过程中缺少创新。法治政府建设有待进一步深入，普法活动形式有待进一步丰富，缺乏新举措、新亮点。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二是执法力量不均衡，乡镇自然资源执法队伍变动频繁，业务水平亟待提高；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 w:eastAsia="仿宋_GB2312" w:cs="Times New Roman"/>
          <w:kern w:val="2"/>
          <w:sz w:val="32"/>
          <w:szCs w:val="32"/>
        </w:rPr>
      </w:pPr>
      <w:r>
        <w:rPr>
          <w:rFonts w:hint="eastAsia" w:ascii="仿宋" w:hAnsi="仿宋" w:eastAsia="仿宋"/>
          <w:sz w:val="32"/>
          <w:szCs w:val="32"/>
          <w:lang w:val="en-US" w:eastAsia="zh-CN"/>
        </w:rPr>
        <w:t>三是普法宣传形式较为单一，新媒体普法力度不够，覆盖面和实效性有待增强。</w:t>
      </w:r>
      <w:r>
        <w:rPr>
          <w:rFonts w:hint="eastAsia" w:ascii="仿宋_GB2312" w:hAnsi="仿宋" w:eastAsia="仿宋_GB2312" w:cs="Times New Roman"/>
          <w:kern w:val="2"/>
          <w:sz w:val="32"/>
          <w:szCs w:val="32"/>
        </w:rPr>
        <w:t>执法设备技术短板依然存在，执法人员对新情况、新问题缺乏深入研究，对法律法规缺乏系统学习，研究、解决问题的能力有待提高，运用现有法律法规解决难点问题的能力不强，在一定程度上影响了执法的效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六、</w:t>
      </w:r>
      <w:r>
        <w:rPr>
          <w:rFonts w:hint="eastAsia" w:ascii="黑体" w:hAnsi="黑体" w:eastAsia="黑体" w:cs="黑体"/>
          <w:sz w:val="32"/>
          <w:szCs w:val="32"/>
        </w:rPr>
        <w:t>下一步工作打算</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一是持续深化法治思想学习，将习近平法治思想与自然资源管理实践深度融合，开展多形式专题培训，提升干部法治素养和实践能力。</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 xml:space="preserve">二是健全执法保障体系，加强执法力量配置，建立常态化培训和轮岗机制，完善跨部门联合执法机制，破解执法难题。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三是创新普法宣传模式，打造“线上+线下”普法矩阵，利用短视频、公众号等平台扩大普法覆盖面，提升普法精准度。</w:t>
      </w:r>
    </w:p>
    <w:p>
      <w:pPr>
        <w:numPr>
          <w:ilvl w:val="0"/>
          <w:numId w:val="0"/>
        </w:numPr>
        <w:ind w:firstLine="640" w:firstLineChars="200"/>
        <w:rPr>
          <w:rFonts w:hint="eastAsia" w:ascii="仿宋" w:hAnsi="仿宋" w:eastAsia="仿宋"/>
          <w:sz w:val="32"/>
          <w:szCs w:val="32"/>
          <w:lang w:val="en-US" w:eastAsia="zh-CN"/>
        </w:rPr>
      </w:pPr>
      <w:r>
        <w:rPr>
          <w:rFonts w:hint="eastAsia" w:ascii="仿宋" w:hAnsi="仿宋" w:eastAsia="仿宋" w:cs="仿宋"/>
          <w:sz w:val="32"/>
          <w:szCs w:val="32"/>
          <w:lang w:eastAsia="zh-CN"/>
        </w:rPr>
        <w:t>四是</w:t>
      </w:r>
      <w:r>
        <w:rPr>
          <w:rFonts w:hint="eastAsia" w:ascii="仿宋" w:hAnsi="仿宋" w:eastAsia="仿宋" w:cs="仿宋"/>
          <w:sz w:val="32"/>
          <w:szCs w:val="32"/>
        </w:rPr>
        <w:t>全面推进自然资源依法行政</w:t>
      </w:r>
      <w:r>
        <w:rPr>
          <w:rFonts w:hint="eastAsia" w:ascii="仿宋" w:hAnsi="仿宋" w:eastAsia="仿宋" w:cs="仿宋"/>
          <w:sz w:val="32"/>
          <w:szCs w:val="32"/>
          <w:lang w:eastAsia="zh-CN"/>
        </w:rPr>
        <w:t>，积极宣传、倡导、推行</w:t>
      </w:r>
      <w:r>
        <w:rPr>
          <w:rFonts w:hint="eastAsia" w:ascii="国标仿宋-GB/T 2312" w:hAnsi="国标仿宋-GB/T 2312" w:eastAsia="国标仿宋-GB/T 2312" w:cs="国标仿宋-GB/T 2312"/>
          <w:sz w:val="32"/>
          <w:szCs w:val="32"/>
        </w:rPr>
        <w:t>“扫码入企”</w:t>
      </w:r>
      <w:r>
        <w:rPr>
          <w:rFonts w:hint="eastAsia" w:ascii="国标仿宋-GB/T 2312" w:hAnsi="国标仿宋-GB/T 2312" w:eastAsia="国标仿宋-GB/T 2312" w:cs="国标仿宋-GB/T 2312"/>
          <w:sz w:val="32"/>
          <w:szCs w:val="32"/>
          <w:lang w:eastAsia="zh-CN"/>
        </w:rPr>
        <w:t>工作制度。以此为契机，切实转变工作作风，更好推进依法行政，以实际行动优化营商环境。</w:t>
      </w:r>
      <w:r>
        <w:rPr>
          <w:rFonts w:hint="eastAsia" w:ascii="仿宋" w:hAnsi="仿宋" w:eastAsia="仿宋" w:cs="仿宋"/>
          <w:sz w:val="32"/>
          <w:szCs w:val="32"/>
          <w:lang w:eastAsia="zh-CN"/>
        </w:rPr>
        <w:t>依法</w:t>
      </w:r>
      <w:r>
        <w:rPr>
          <w:rFonts w:hint="eastAsia" w:ascii="仿宋" w:hAnsi="仿宋" w:eastAsia="仿宋" w:cs="仿宋"/>
          <w:sz w:val="32"/>
          <w:szCs w:val="32"/>
        </w:rPr>
        <w:t>推进行政执法“三项制度”建设，坚持对行政权力的制约和监督，提升行政执法的公信力。严格执行“双随机一公开”制度，强化事中、事后监管，开展执法检查，规范我县自然资源管理秩序。四是认真做好行政应诉和复议答复工作，努力提升行政复议和诉讼的胜诉率，提高全局干部依法行政的意识和能力。</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五是强化风险源头防控，完善重大决策合法性审查机制，加强行政复议应诉能力建设，健全矛盾纠纷多元化解机制，推动自然资源管理工作法治化、规范化水平再上新台阶。</w:t>
      </w:r>
    </w:p>
    <w:p>
      <w:pPr>
        <w:keepNext w:val="0"/>
        <w:keepLines w:val="0"/>
        <w:pageBreakBefore w:val="0"/>
        <w:widowControl w:val="0"/>
        <w:kinsoku/>
        <w:wordWrap/>
        <w:overflowPunct/>
        <w:topLinePunct w:val="0"/>
        <w:autoSpaceDE/>
        <w:autoSpaceDN/>
        <w:bidi w:val="0"/>
        <w:adjustRightInd/>
        <w:snapToGrid/>
        <w:spacing w:line="560" w:lineRule="exact"/>
        <w:ind w:firstLine="6080" w:firstLineChars="1900"/>
        <w:textAlignment w:val="auto"/>
        <w:rPr>
          <w:rFonts w:hint="eastAsia" w:ascii="仿宋" w:hAnsi="仿宋" w:eastAsia="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080" w:firstLineChars="1900"/>
        <w:textAlignment w:val="auto"/>
        <w:rPr>
          <w:rFonts w:hint="eastAsia" w:ascii="仿宋" w:hAnsi="仿宋" w:eastAsia="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5440" w:firstLineChars="1700"/>
        <w:textAlignment w:val="auto"/>
        <w:rPr>
          <w:rFonts w:hint="eastAsia" w:ascii="仿宋" w:hAnsi="仿宋" w:eastAsia="仿宋"/>
          <w:sz w:val="32"/>
          <w:szCs w:val="32"/>
        </w:rPr>
      </w:pPr>
      <w:r>
        <w:rPr>
          <w:rFonts w:hint="eastAsia" w:ascii="仿宋" w:hAnsi="仿宋" w:eastAsia="仿宋"/>
          <w:sz w:val="32"/>
          <w:szCs w:val="32"/>
        </w:rPr>
        <w:t>202</w:t>
      </w:r>
      <w:r>
        <w:rPr>
          <w:rFonts w:hint="eastAsia" w:ascii="仿宋" w:hAnsi="仿宋" w:eastAsia="仿宋"/>
          <w:sz w:val="32"/>
          <w:szCs w:val="32"/>
          <w:lang w:val="en-US" w:eastAsia="zh-CN"/>
        </w:rPr>
        <w:t>6</w:t>
      </w:r>
      <w:r>
        <w:rPr>
          <w:rFonts w:hint="eastAsia" w:ascii="仿宋" w:hAnsi="仿宋" w:eastAsia="仿宋"/>
          <w:sz w:val="32"/>
          <w:szCs w:val="32"/>
        </w:rPr>
        <w:t>年</w:t>
      </w:r>
      <w:r>
        <w:rPr>
          <w:rFonts w:hint="eastAsia" w:ascii="仿宋" w:hAnsi="仿宋" w:eastAsia="仿宋"/>
          <w:sz w:val="32"/>
          <w:szCs w:val="32"/>
          <w:lang w:val="en-US" w:eastAsia="zh-CN"/>
        </w:rPr>
        <w:t>3</w:t>
      </w:r>
      <w:r>
        <w:rPr>
          <w:rFonts w:hint="eastAsia" w:ascii="仿宋" w:hAnsi="仿宋" w:eastAsia="仿宋"/>
          <w:sz w:val="32"/>
          <w:szCs w:val="32"/>
        </w:rPr>
        <w:t>月</w:t>
      </w:r>
      <w:r>
        <w:rPr>
          <w:rFonts w:hint="eastAsia" w:ascii="仿宋" w:hAnsi="仿宋" w:eastAsia="仿宋"/>
          <w:sz w:val="32"/>
          <w:szCs w:val="32"/>
          <w:lang w:val="en-US" w:eastAsia="zh-CN"/>
        </w:rPr>
        <w:t>3</w:t>
      </w:r>
      <w:r>
        <w:rPr>
          <w:rFonts w:hint="eastAsia" w:ascii="仿宋" w:hAnsi="仿宋" w:eastAsia="仿宋"/>
          <w:sz w:val="32"/>
          <w:szCs w:val="32"/>
        </w:rPr>
        <w:t>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 w:eastAsia="仿宋_GB2312" w:cs="Times New Roman"/>
          <w:kern w:val="2"/>
          <w:sz w:val="32"/>
          <w:szCs w:val="32"/>
          <w:lang w:val="en-US" w:eastAsia="zh-CN"/>
        </w:rPr>
      </w:pPr>
    </w:p>
    <w:p>
      <w:pPr>
        <w:keepNext w:val="0"/>
        <w:keepLines w:val="0"/>
        <w:pageBreakBefore w:val="0"/>
        <w:widowControl w:val="0"/>
        <w:kinsoku/>
        <w:wordWrap/>
        <w:overflowPunct/>
        <w:topLinePunct w:val="0"/>
        <w:autoSpaceDN/>
        <w:bidi w:val="0"/>
        <w:adjustRightInd/>
        <w:snapToGrid/>
        <w:spacing w:line="560" w:lineRule="exact"/>
        <w:ind w:firstLine="5120" w:firstLineChars="1600"/>
        <w:textAlignment w:val="auto"/>
        <w:rPr>
          <w:rFonts w:hint="eastAsia" w:ascii="仿宋" w:hAnsi="仿宋" w:eastAsia="仿宋" w:cs="仿宋"/>
          <w:sz w:val="32"/>
          <w:szCs w:val="32"/>
        </w:rPr>
      </w:pPr>
    </w:p>
    <w:sectPr>
      <w:footerReference r:id="rId3" w:type="default"/>
      <w:pgSz w:w="11906" w:h="16838"/>
      <w:pgMar w:top="2154" w:right="1474" w:bottom="1871"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DD69E5A-4DB9-4CB3-84D6-57C49265F4B8}"/>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2" w:fontKey="{C977DD63-144F-4BEA-A7AE-4614124DEA20}"/>
  </w:font>
  <w:font w:name="方正小标宋简体">
    <w:panose1 w:val="02000000000000000000"/>
    <w:charset w:val="86"/>
    <w:family w:val="auto"/>
    <w:pitch w:val="default"/>
    <w:sig w:usb0="00000001" w:usb1="080E0000" w:usb2="00000000" w:usb3="00000000" w:csb0="00040000" w:csb1="00000000"/>
    <w:embedRegular r:id="rId3" w:fontKey="{18C7BE1E-A138-4237-8406-28C8EBD34236}"/>
  </w:font>
  <w:font w:name="仿宋">
    <w:panose1 w:val="02010609060101010101"/>
    <w:charset w:val="86"/>
    <w:family w:val="modern"/>
    <w:pitch w:val="default"/>
    <w:sig w:usb0="800002BF" w:usb1="38CF7CFA" w:usb2="00000016" w:usb3="00000000" w:csb0="00040001" w:csb1="00000000"/>
    <w:embedRegular r:id="rId4" w:fontKey="{E516E599-8DBF-4B7A-ACB9-02376A3B80B4}"/>
  </w:font>
  <w:font w:name="国标宋体">
    <w:altName w:val="宋体"/>
    <w:panose1 w:val="02000500000000000000"/>
    <w:charset w:val="86"/>
    <w:family w:val="auto"/>
    <w:pitch w:val="default"/>
    <w:sig w:usb0="00000000" w:usb1="00000000" w:usb2="00000000" w:usb3="00000000" w:csb0="00040000" w:csb1="00000000"/>
    <w:embedRegular r:id="rId5" w:fontKey="{5F1F0150-A220-4900-B634-052D2B92DD86}"/>
  </w:font>
  <w:font w:name="仿宋_GB2312">
    <w:panose1 w:val="02010609030101010101"/>
    <w:charset w:val="86"/>
    <w:family w:val="auto"/>
    <w:pitch w:val="default"/>
    <w:sig w:usb0="00000001" w:usb1="080E0000" w:usb2="00000000" w:usb3="00000000" w:csb0="00040000" w:csb1="00000000"/>
    <w:embedRegular r:id="rId6" w:fontKey="{19F9DA11-A4AB-480D-8F05-B0E5DE20071F}"/>
  </w:font>
  <w:font w:name="楷体">
    <w:panose1 w:val="02010609060101010101"/>
    <w:charset w:val="86"/>
    <w:family w:val="modern"/>
    <w:pitch w:val="default"/>
    <w:sig w:usb0="800002BF" w:usb1="38CF7CFA" w:usb2="00000016" w:usb3="00000000" w:csb0="00040001" w:csb1="00000000"/>
    <w:embedRegular r:id="rId7" w:fontKey="{7C9A1C77-9EFE-4C2F-8BDE-297D2839C6CF}"/>
  </w:font>
  <w:font w:name="国标仿宋-GB/T 2312">
    <w:altName w:val="仿宋"/>
    <w:panose1 w:val="02000500000000000000"/>
    <w:charset w:val="86"/>
    <w:family w:val="auto"/>
    <w:pitch w:val="default"/>
    <w:sig w:usb0="00000000" w:usb1="00000000" w:usb2="00000010" w:usb3="00000000" w:csb0="00040000" w:csb1="00000000"/>
    <w:embedRegular r:id="rId8" w:fontKey="{AE295A49-7B90-4568-9228-3502D9AB298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Q3YjBjYjZmMjJhNTA4ZjI3MmI5Y2ZhN2ExZDJlMzMifQ=="/>
  </w:docVars>
  <w:rsids>
    <w:rsidRoot w:val="008C46FD"/>
    <w:rsid w:val="000215EC"/>
    <w:rsid w:val="0031650F"/>
    <w:rsid w:val="004B4AA4"/>
    <w:rsid w:val="004D15A7"/>
    <w:rsid w:val="00614DAD"/>
    <w:rsid w:val="008C46FD"/>
    <w:rsid w:val="00AA3A5D"/>
    <w:rsid w:val="00BA03BD"/>
    <w:rsid w:val="00FC7D7B"/>
    <w:rsid w:val="02B6306F"/>
    <w:rsid w:val="04936EDD"/>
    <w:rsid w:val="09F61C94"/>
    <w:rsid w:val="15B04A56"/>
    <w:rsid w:val="167A7FCD"/>
    <w:rsid w:val="18860743"/>
    <w:rsid w:val="206F229F"/>
    <w:rsid w:val="223D77C5"/>
    <w:rsid w:val="2533609C"/>
    <w:rsid w:val="29C36B28"/>
    <w:rsid w:val="29E52E5A"/>
    <w:rsid w:val="2A1353B8"/>
    <w:rsid w:val="36F84234"/>
    <w:rsid w:val="3DF95657"/>
    <w:rsid w:val="49751CED"/>
    <w:rsid w:val="4DB87AC0"/>
    <w:rsid w:val="59AB5672"/>
    <w:rsid w:val="5AE57473"/>
    <w:rsid w:val="5E0250EF"/>
    <w:rsid w:val="61CB4C91"/>
    <w:rsid w:val="63164A0A"/>
    <w:rsid w:val="674C3ED2"/>
    <w:rsid w:val="6A184540"/>
    <w:rsid w:val="738E7B26"/>
    <w:rsid w:val="741D02CE"/>
    <w:rsid w:val="788D3187"/>
    <w:rsid w:val="79B53B29"/>
    <w:rsid w:val="7C09731F"/>
    <w:rsid w:val="E0FDDC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rPr>
      <w:rFonts w:ascii="Times New Roman" w:hAnsi="Times New Roman" w:eastAsia="宋体" w:cs="Times New Roman"/>
    </w:rPr>
  </w:style>
  <w:style w:type="paragraph" w:styleId="3">
    <w:name w:val="Body Text Indent 2"/>
    <w:basedOn w:val="1"/>
    <w:qFormat/>
    <w:uiPriority w:val="0"/>
    <w:pPr>
      <w:spacing w:line="480" w:lineRule="auto"/>
      <w:ind w:left="420" w:leftChars="200"/>
    </w:pPr>
  </w:style>
  <w:style w:type="paragraph" w:styleId="4">
    <w:name w:val="footer"/>
    <w:basedOn w:val="1"/>
    <w:link w:val="13"/>
    <w:qFormat/>
    <w:uiPriority w:val="0"/>
    <w:pPr>
      <w:tabs>
        <w:tab w:val="center" w:pos="4153"/>
        <w:tab w:val="right" w:pos="8306"/>
      </w:tabs>
      <w:snapToGrid w:val="0"/>
      <w:jc w:val="left"/>
    </w:pPr>
    <w:rPr>
      <w:sz w:val="18"/>
      <w:szCs w:val="18"/>
    </w:rPr>
  </w:style>
  <w:style w:type="paragraph" w:styleId="5">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jc w:val="left"/>
    </w:pPr>
    <w:rPr>
      <w:rFonts w:ascii="宋体" w:hAnsi="宋体" w:eastAsia="宋体" w:cs="宋体"/>
      <w:kern w:val="0"/>
      <w:sz w:val="24"/>
    </w:rPr>
  </w:style>
  <w:style w:type="character" w:styleId="9">
    <w:name w:val="Strong"/>
    <w:basedOn w:val="8"/>
    <w:qFormat/>
    <w:uiPriority w:val="0"/>
    <w:rPr>
      <w:b/>
    </w:rPr>
  </w:style>
  <w:style w:type="paragraph" w:customStyle="1" w:styleId="10">
    <w:name w:val="正文首行缩进1"/>
    <w:basedOn w:val="2"/>
    <w:next w:val="5"/>
    <w:qFormat/>
    <w:uiPriority w:val="0"/>
    <w:pPr>
      <w:tabs>
        <w:tab w:val="center" w:pos="4153"/>
        <w:tab w:val="right" w:pos="8306"/>
      </w:tabs>
      <w:ind w:firstLine="420" w:firstLineChars="100"/>
    </w:pPr>
  </w:style>
  <w:style w:type="paragraph" w:customStyle="1" w:styleId="11">
    <w:name w:val="BodyText1I2"/>
    <w:basedOn w:val="12"/>
    <w:qFormat/>
    <w:uiPriority w:val="0"/>
    <w:pPr>
      <w:ind w:firstLine="420"/>
    </w:pPr>
  </w:style>
  <w:style w:type="paragraph" w:customStyle="1" w:styleId="12">
    <w:name w:val="BodyTextIndent"/>
    <w:basedOn w:val="1"/>
    <w:qFormat/>
    <w:uiPriority w:val="0"/>
    <w:pPr>
      <w:ind w:left="420" w:leftChars="200"/>
    </w:pPr>
  </w:style>
  <w:style w:type="character" w:customStyle="1" w:styleId="13">
    <w:name w:val="页脚 字符"/>
    <w:basedOn w:val="8"/>
    <w:link w:val="4"/>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4687</Words>
  <Characters>4854</Characters>
  <Lines>34</Lines>
  <Paragraphs>9</Paragraphs>
  <TotalTime>8</TotalTime>
  <ScaleCrop>false</ScaleCrop>
  <LinksUpToDate>false</LinksUpToDate>
  <CharactersWithSpaces>4860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2024-01-16T16:49:00Z</dcterms:created>
  <dc:creator>Administrator</dc:creator>
  <cp:lastModifiedBy>Sunshine</cp:lastModifiedBy>
  <cp:lastPrinted>2026-03-04T15:00:00Z</cp:lastPrinted>
  <dcterms:modified xsi:type="dcterms:W3CDTF">2026-03-17T07:48:02Z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D5306E73CDF924DBEE51A6699132206B_43</vt:lpwstr>
  </property>
  <property fmtid="{D5CDD505-2E9C-101B-9397-08002B2CF9AE}" pid="4" name="KSOTemplateDocerSaveRecord">
    <vt:lpwstr>eyJoZGlkIjoiNTNmNmI4NTM5ZDE4MGQ2MTBhNmI2MmE1ODIwNmI5NmEiLCJ1c2VySWQiOiIyNjI1MjYyMzYifQ==</vt:lpwstr>
  </property>
</Properties>
</file>