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城关镇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2025年度法治政府建设情况汇报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城关镇地处卢氏县城核心区，总面积7.2平方公里，常住人口8.1万人，下辖10个社区，划分241个基础网格。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今年以来，在县委、县政府的坚强领导下，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城关镇深入学习贯彻习近平总书记在河南考察时的重要讲话精神，认真贯彻落实省委、市委和县委全会精神，紧紧围绕现代化卢氏建设“3833”工作布局，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u w:val="none" w:color="000000"/>
          <w:rtl w:val="0"/>
          <w:lang w:val="en-US" w:eastAsia="zh-CN" w:bidi="ar"/>
        </w:rPr>
        <w:t>锚定党建引领基层高效能治理和高质量发展两大任务，成立专班、前瞻谋划，高位推动、全域协同，持续探索创新，勇于攻坚克难，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激扬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u w:val="none" w:color="000000"/>
          <w:lang w:val="en-US" w:eastAsia="zh-CN" w:bidi="ar"/>
        </w:rPr>
        <w:t>“跑起来干事、跳起来摸高”的拼抢劲头，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  <w:t>努力将城关镇打造成为全县城乡融合发展示范区、高质量发展引领区、高效能治理样板区、高品质生活宜居区。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楷体" w:hAnsi="楷体" w:eastAsia="楷体" w:cs="楷体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32"/>
          <w:szCs w:val="32"/>
          <w:u w:val="none" w:color="000000"/>
          <w:lang w:val="en-US" w:eastAsia="zh-CN" w:bidi="ar"/>
        </w:rPr>
        <w:t>一、坚持党建引领，基层组织更加坚实。</w:t>
      </w:r>
      <w:r>
        <w:rPr>
          <w:rFonts w:hint="eastAsia" w:ascii="楷体" w:hAnsi="楷体" w:eastAsia="楷体" w:cs="楷体"/>
          <w:b/>
          <w:bCs/>
          <w:spacing w:val="0"/>
          <w:sz w:val="32"/>
          <w:szCs w:val="32"/>
          <w:lang w:eastAsia="zh-CN"/>
        </w:rPr>
        <w:t>一是战斗“堡垒”作用不断增强。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  <w:t>坚持“合并围着换届转、换届跟着发展走”，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平稳高效完成社区合并调整及命名，社区由19个合并为10个，合出了资源高效配置新布局、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  <w:t>合出了班子凝聚力、合出了发展新气象，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全县“合村改居”工作观摩交流会在城关镇召开。同时，坚持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  <w:t>把党建阵地与网格阵地同步规划、同步建设，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以10个社区党群服务中心为轴心，因地制宜建成12个网格便民服务示范点，探索以分散式服务模式构建社区“蜂巢式”治理体系，有效解决了社区合并后管理区域广、服务半径大的问题，</w:t>
      </w:r>
      <w:r>
        <w:rPr>
          <w:rFonts w:hint="eastAsia" w:ascii="仿宋_GB2312" w:hAnsi="宋体" w:eastAsia="仿宋_GB2312" w:cs="仿宋_GB2312"/>
          <w:color w:val="000000"/>
          <w:spacing w:val="0"/>
          <w:kern w:val="0"/>
          <w:sz w:val="31"/>
          <w:szCs w:val="31"/>
          <w:lang w:val="en-US" w:eastAsia="zh-CN" w:bidi="ar"/>
        </w:rPr>
        <w:t>重塑社区治理服务和融合发展新格局。</w:t>
      </w:r>
      <w:r>
        <w:rPr>
          <w:rFonts w:hint="eastAsia" w:ascii="楷体" w:hAnsi="楷体" w:eastAsia="楷体" w:cs="楷体"/>
          <w:b/>
          <w:bCs/>
          <w:spacing w:val="0"/>
          <w:sz w:val="32"/>
          <w:szCs w:val="32"/>
          <w:lang w:val="en-US" w:eastAsia="zh-CN"/>
        </w:rPr>
        <w:t>二是基层治理力量不断壮大。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深化拓展“党建+巷长制”“党建+邻里互助”志愿服务模式，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科学划分952个街巷、楼院微网格，从离退休干部、无职党员、退伍军人、乡贤能人、热心居民中选聘1246名巷道长、红袖章、楼院长、单元长，将党的工作与社区服务触角延伸至街巷楼院“最后一米”，健全“镇—社区—网格—微网格”四级治理体系，建强了“社区干部、网格长、党员、四长、志愿者”五支队伍，构建起“网中有格、格中有人、人在格上、事在格中”的治理新格局。</w:t>
      </w:r>
      <w:r>
        <w:rPr>
          <w:rFonts w:hint="eastAsia" w:ascii="楷体" w:hAnsi="楷体" w:eastAsia="楷体" w:cs="楷体"/>
          <w:b/>
          <w:bCs/>
          <w:spacing w:val="0"/>
          <w:sz w:val="32"/>
          <w:szCs w:val="32"/>
          <w:lang w:val="en-US" w:eastAsia="zh-CN"/>
        </w:rPr>
        <w:t>三是多元服务聚合效应不断彰显。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治理靠群众、群众靠发动、发动靠活动、活动靠带动。积极链接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共建单位、物业服务企业、社团组织、企业商户和居民志愿者等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各类资源，打造百悦城小广场新时代文明实践便民服务示范工程，累计开展活动200余期，服务群众10万余人次。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  <w:t>建立每月25日社区便民服务日制度，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精准对接居民需求，推出政策宣传、银发义剪、健康义诊、同吃一锅饭、衣循环爱循环、磨刀磨剪子、缝纫修补等“8+X”便民服务“套餐”，搭建起群众“家门口”的“便民市集”，累计开展活动200余期，惠及群众20万余人次。培育形成了“绿豆传情·夏韵邻心”“老来乐”“巧艺暖心坊”等一批暖民心、聚民力的社区便民服务项目，用接地气的便民服务拉近了社区“邻里情”、温暖了“群众心”，浓厚了城市“烟火气”，厚植了“美美与共、和合包容”的文明新风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二、聚力项目建设，经济发展稳中有进。</w:t>
      </w:r>
      <w:r>
        <w:rPr>
          <w:rFonts w:hint="eastAsia" w:ascii="楷体_GB2312" w:hAnsi="楷体_GB2312" w:eastAsia="楷体_GB2312" w:cs="楷体_GB2312"/>
          <w:b/>
          <w:bCs/>
          <w:spacing w:val="0"/>
          <w:kern w:val="2"/>
          <w:sz w:val="32"/>
          <w:szCs w:val="32"/>
          <w:lang w:val="en-US" w:eastAsia="zh-CN" w:bidi="ar-SA"/>
        </w:rPr>
        <w:t>一是重点项目加快推进。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  <w:t>县定卢氏县全智能化精品板材砂暨硅基新材料研究所建设项目、蜂业联创科技产业园配套设施建设项目、莘时代购物广场、莘川坊商旅文化综合体二期工程、卢公馆建设项目、翰林学府等6个总投资5.51亿元重点项目</w:t>
      </w:r>
      <w:r>
        <w:rPr>
          <w:rFonts w:hint="eastAsia" w:ascii="仿宋" w:hAnsi="仿宋" w:cs="仿宋"/>
          <w:spacing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  <w:t>截</w:t>
      </w:r>
      <w:r>
        <w:rPr>
          <w:rFonts w:hint="eastAsia" w:ascii="仿宋" w:hAnsi="仿宋" w:cs="仿宋"/>
          <w:spacing w:val="0"/>
          <w:kern w:val="2"/>
          <w:sz w:val="32"/>
          <w:szCs w:val="32"/>
          <w:lang w:val="en-US" w:eastAsia="zh-CN" w:bidi="ar-SA"/>
        </w:rPr>
        <w:t>至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  <w:t>目前，投资总额达5.44亿</w:t>
      </w:r>
      <w:r>
        <w:rPr>
          <w:rFonts w:hint="eastAsia" w:ascii="仿宋" w:hAnsi="仿宋" w:cs="仿宋"/>
          <w:spacing w:val="0"/>
          <w:kern w:val="2"/>
          <w:sz w:val="32"/>
          <w:szCs w:val="32"/>
          <w:lang w:val="en-US" w:eastAsia="zh-CN" w:bidi="ar-SA"/>
        </w:rPr>
        <w:t>元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  <w:t>，占比98%，实现了建设时间节点与建设目标、投资额同步。同时，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完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成翰林学府项目原寨子社区6.69亩集体土地收储，解放公园提升项目原东街社区8.64亩集体土地收储，莘川大道（文化路至西苑路段）原西关社区9.98亩集体土地收储，为重点项目顺利推进提供了有力的用地保障。深入细致开展莘川大道征地拆迁前期摸底调查，全面厘清土地权属、房屋面积、人口信息、附着物状况及补偿预期，形成台账，为后续依法、和谐征拆奠定基础；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完成西关村棚户区改造等5个拆迁项目，涉及303户安置群众房屋分配工作，确保群众利益得到保障。</w:t>
      </w:r>
      <w:r>
        <w:rPr>
          <w:rFonts w:hint="eastAsia" w:ascii="楷体_GB2312" w:hAnsi="楷体_GB2312" w:eastAsia="楷体_GB2312" w:cs="楷体_GB2312"/>
          <w:b/>
          <w:bCs/>
          <w:spacing w:val="0"/>
          <w:kern w:val="2"/>
          <w:sz w:val="32"/>
          <w:szCs w:val="32"/>
          <w:lang w:val="en-US" w:eastAsia="zh-CN" w:bidi="ar-SA"/>
        </w:rPr>
        <w:t>二是</w:t>
      </w:r>
      <w:r>
        <w:rPr>
          <w:rFonts w:hint="default" w:ascii="楷体_GB2312" w:hAnsi="楷体_GB2312" w:eastAsia="楷体_GB2312" w:cs="楷体_GB2312"/>
          <w:b/>
          <w:bCs/>
          <w:spacing w:val="0"/>
          <w:kern w:val="2"/>
          <w:sz w:val="32"/>
          <w:szCs w:val="32"/>
          <w:lang w:val="en-US" w:eastAsia="zh-CN" w:bidi="ar-SA"/>
        </w:rPr>
        <w:t>招商引资</w:t>
      </w:r>
      <w:r>
        <w:rPr>
          <w:rFonts w:hint="eastAsia" w:ascii="楷体_GB2312" w:hAnsi="楷体_GB2312" w:eastAsia="楷体_GB2312" w:cs="楷体_GB2312"/>
          <w:b/>
          <w:bCs/>
          <w:spacing w:val="0"/>
          <w:kern w:val="2"/>
          <w:sz w:val="32"/>
          <w:szCs w:val="32"/>
          <w:lang w:val="en-US" w:eastAsia="zh-CN" w:bidi="ar-SA"/>
        </w:rPr>
        <w:t>成效明显。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  <w:t>立足区位优势，积极开展招商活动，先后引进蜂业联创科技产业园配套设施建设项目、莘川坊商旅文化综合体二期工程、翰林学府项目等3个项目。目前均已完成招商引资投资备案，开工建设，投资额达1.9025亿元。</w:t>
      </w:r>
      <w:r>
        <w:rPr>
          <w:rFonts w:hint="eastAsia" w:ascii="楷体_GB2312" w:hAnsi="楷体_GB2312" w:eastAsia="楷体_GB2312" w:cs="楷体_GB2312"/>
          <w:b/>
          <w:bCs/>
          <w:spacing w:val="0"/>
          <w:kern w:val="2"/>
          <w:sz w:val="32"/>
          <w:szCs w:val="32"/>
          <w:lang w:val="en-US" w:eastAsia="zh-CN" w:bidi="ar-SA"/>
        </w:rPr>
        <w:t>三是营商环境持续向好。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严格落实“万人助万企”工作要求，明确包企领导和包企办站，积极宣传惠企政策，多方协调解决企业发展中的困难和问题。同时，全面开展营商环境回访活动，完成11063家个体及企业走访、回访，积极宣传普惠金融政策，搭建商户贷款融资平台，完成4500个营商环境经营主体赋码注册。截至今年10月，全镇固定资产投资完成4亿4040万元，占比全年任务146.8% ，工业固定资产投资完成17561万元，占比全年任务103.3% ，规上工业生产值完成2亿零874万元，占比全年任务70%，规上工业营收完成1亿5793万元，占比全年任务59%，批零住餐限上企业完成7514万元，占比全年任务64.4%，大个体完成2157万元，占比全年任务102%。今年以来积极培育“四上”企业5家，已申报入库2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三、做好增收文章，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脱贫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成果持续巩固。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全镇共有3个涉贫社区，脱贫户1204户、4649人，监测对象148户、521人（脱贫不稳定户82户、282人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突发严重困难户61户、232人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边缘易致贫户5户、7人）。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其中河洛嘉园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安置易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地扶贫搬迁脱贫户1175户4595人（含不享受政策39户158人）。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今年以来，我们</w:t>
      </w:r>
      <w:r>
        <w:rPr>
          <w:rFonts w:hint="eastAsia" w:ascii="仿宋_GB2312" w:hAnsi="宋体" w:eastAsia="仿宋_GB2312" w:cs="仿宋_GB2312"/>
          <w:color w:val="000000"/>
          <w:spacing w:val="0"/>
          <w:kern w:val="0"/>
          <w:sz w:val="31"/>
          <w:szCs w:val="31"/>
          <w:lang w:val="en-US" w:eastAsia="zh-CN" w:bidi="ar"/>
        </w:rPr>
        <w:t>聚力做好河洛嘉园易地扶贫搬迁社区“后半篇文章”，严守“四个不摘”要求，锚定“零返贫”底线任务，强化防返贫动态监测与精准帮扶，推动巩固拓展脱贫攻坚成果同乡村振兴有效衔接各项任务落到实处。</w:t>
      </w:r>
      <w:r>
        <w:rPr>
          <w:rFonts w:hint="eastAsia" w:ascii="楷体" w:hAnsi="楷体" w:eastAsia="楷体" w:cs="楷体"/>
          <w:b/>
          <w:bCs/>
          <w:i w:val="0"/>
          <w:strike w:val="0"/>
          <w:color w:val="auto"/>
          <w:spacing w:val="0"/>
          <w:sz w:val="32"/>
          <w:szCs w:val="32"/>
          <w:u w:val="none"/>
          <w:lang w:val="en-US" w:eastAsia="zh-CN"/>
        </w:rPr>
        <w:t>一是精准对接服务。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spacing w:val="0"/>
          <w:sz w:val="32"/>
          <w:szCs w:val="32"/>
          <w:u w:val="none"/>
          <w:lang w:val="en-US" w:eastAsia="zh-CN"/>
        </w:rPr>
        <w:t>依托镇、社区就业服务网络，动态监测2784名劳动力（含监测对象）就业状况，通过“线上+线下”方式高频推送岗位信息，全年组织开展专场招聘、劳务推介活动2场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，参会企业40余家，群众800余人次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spacing w:val="0"/>
          <w:sz w:val="32"/>
          <w:szCs w:val="32"/>
          <w:u w:val="none"/>
          <w:lang w:val="en-US" w:eastAsia="zh-CN"/>
        </w:rPr>
        <w:t>。精准开展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开展短期技能、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spacing w:val="0"/>
          <w:sz w:val="32"/>
          <w:szCs w:val="32"/>
          <w:u w:val="none"/>
          <w:lang w:val="en-US" w:eastAsia="zh-CN"/>
        </w:rPr>
        <w:t>家政、电商等技能培训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4期，新增持证人员45人（全年累计录入证书审核通过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985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人），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spacing w:val="0"/>
          <w:sz w:val="32"/>
          <w:szCs w:val="32"/>
          <w:u w:val="none"/>
          <w:lang w:val="en-US" w:eastAsia="zh-CN"/>
        </w:rPr>
        <w:t>提升就业竞争力；</w:t>
      </w:r>
      <w:r>
        <w:rPr>
          <w:rFonts w:hint="eastAsia" w:ascii="楷体" w:hAnsi="楷体" w:eastAsia="楷体" w:cs="楷体"/>
          <w:b/>
          <w:bCs/>
          <w:i w:val="0"/>
          <w:strike w:val="0"/>
          <w:color w:val="auto"/>
          <w:spacing w:val="0"/>
          <w:sz w:val="32"/>
          <w:szCs w:val="32"/>
          <w:u w:val="none"/>
          <w:lang w:val="en-US" w:eastAsia="zh-CN"/>
        </w:rPr>
        <w:t>二是拓宽多元渠道。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深化金融帮扶，积极落实小额信贷政策。2025年新增小额信贷88户431.7万元，历年累计投放435户2029.4万元，有效破解群众发展资金瓶颈；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spacing w:val="0"/>
          <w:sz w:val="32"/>
          <w:szCs w:val="32"/>
          <w:u w:val="none"/>
          <w:lang w:val="en-US" w:eastAsia="zh-CN"/>
        </w:rPr>
        <w:t>引进榕森电子、丽领实业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企业入驻社区就业基地，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提供灵活就业岗位100余个，带动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余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名脱贫户劳动力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就近就业，月人均增收约2500元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鼓励支持自主创业，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目前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社区稳定创业者达到116人。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开发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公益岗位16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个，有效托底安置劳动力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就近就业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；</w:t>
      </w:r>
      <w:r>
        <w:rPr>
          <w:rFonts w:hint="eastAsia" w:ascii="楷体" w:hAnsi="楷体" w:eastAsia="楷体" w:cs="楷体"/>
          <w:b/>
          <w:bCs/>
          <w:i w:val="0"/>
          <w:strike w:val="0"/>
          <w:color w:val="auto"/>
          <w:spacing w:val="0"/>
          <w:sz w:val="32"/>
          <w:szCs w:val="32"/>
          <w:u w:val="none"/>
          <w:lang w:val="en-US" w:eastAsia="zh-CN"/>
        </w:rPr>
        <w:t>三是集体经济带动。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发挥党支部领办“卢氏县共建实业有限公司”作用，开展劳务输出协作、就业技能培训、农产品集中销售等业务，构建形成“集体+公司+居民”利益共享、风险共担的经济利益共同体。2025年集体经济收入达15.23万元。2025年累计开展劳务招聘会2次，劳务输送近200人次，帮扶群众销售农副产品价值近6.83万余元，带动8户群众家门口自主创业，拓宽群众增收路径，同时增加集体经济收入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截至11月底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，河洛嘉园搬迁小区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务工2784人，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其中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享受省外一次性交通补助1074人，奖补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金额达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32.22万元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spacing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025年全镇脱贫人口人均纯收入达21382.53元，同比增长10.9%。全年新识别纳入监测户6户31人（监测范围：8600元），标注监测户风险消除55户、205人。本次动态调整后全镇累计风险消除148户、521人，全镇风险消除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四、创新制度机制，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rtl w:val="0"/>
          <w:lang w:val="en-US" w:eastAsia="zh-CN"/>
        </w:rPr>
        <w:t>社会大局和谐稳定。</w:t>
      </w:r>
      <w:r>
        <w:rPr>
          <w:rFonts w:hint="eastAsia" w:ascii="楷体" w:hAnsi="楷体" w:eastAsia="楷体" w:cs="楷体"/>
          <w:b/>
          <w:bCs/>
          <w:spacing w:val="0"/>
          <w:sz w:val="32"/>
          <w:szCs w:val="32"/>
          <w:rtl w:val="0"/>
          <w:lang w:val="en-US" w:eastAsia="zh-CN"/>
        </w:rPr>
        <w:t>一是</w:t>
      </w:r>
      <w:r>
        <w:rPr>
          <w:rFonts w:hint="eastAsia" w:ascii="楷体" w:hAnsi="楷体" w:eastAsia="楷体" w:cs="楷体"/>
          <w:b/>
          <w:bCs/>
          <w:color w:val="auto"/>
          <w:spacing w:val="0"/>
          <w:kern w:val="2"/>
          <w:sz w:val="32"/>
          <w:szCs w:val="32"/>
          <w:u w:val="none"/>
          <w:rtl w:val="0"/>
          <w:lang w:val="en-US" w:eastAsia="zh-CN" w:bidi="ar-SA"/>
        </w:rPr>
        <w:t>创新“有事好商量”睦邻议事机制。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面对辖区管理人口多、群众利益诉求多、信访历史遗留问题多的现实，深化创新“凉亭夜话”城关实践，将“有事好商量”理念融入治理末梢，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通过单元门口“马扎会”“楼院茶话会”“小巷议事角”“凉亭议事会”等形式，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  <w:t>将议事桌随时随地延伸至群众“家门口”，使困扰群众的“急、难、愁、盼”问题有地说、有人管，也让矛盾纠纷在萌芽状态就能被发现、被化解，一些历史遗留的难案、积案也得到有效化解，而且每个问题由众人商量着办，变“干部干、群众看”为“大家议、共同办”，基本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实现了“小事不出网格、大事不出社区、矛盾不上交”，也涌现出了“和事佬”、“管得宽”等深受群众欢迎的的群众性治理品牌。今年以来，我们通过“凉亭夜话”成功化解矛盾纠纷408件，办结群众“急难愁盼”问题115件，未发生到市、赴省、进京上访。</w:t>
      </w:r>
      <w:r>
        <w:rPr>
          <w:rFonts w:hint="eastAsia" w:ascii="楷体" w:hAnsi="楷体" w:eastAsia="楷体" w:cs="楷体"/>
          <w:b/>
          <w:bCs/>
          <w:spacing w:val="0"/>
          <w:sz w:val="32"/>
          <w:szCs w:val="32"/>
          <w:rtl w:val="0"/>
          <w:lang w:val="en-US" w:eastAsia="zh-CN"/>
        </w:rPr>
        <w:t>二是创新“反诈+”宣传工作模式。</w:t>
      </w: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u w:val="none"/>
          <w:rtl w:val="0"/>
          <w:lang w:val="en-US" w:eastAsia="zh-CN" w:bidi="ar-SA"/>
        </w:rPr>
        <w:t>针对全镇电信诈骗工作面临的严峻形势，开展城关镇防电信诈骗集中宣传活动，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举全镇之力在全镇掀起全民反诈新攻势，“线上+线下”双向发力，探索构建“反诈+”“+反诈”新模式，比如，乐善里社区推出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“乐善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有防”“大家听我说”等系列反诈短视频，履中里社区搭建夏夜“露天反诈课堂”，惠济里社区深入街头巷尾开展“反诈那点事”有奖问答和趣味游戏反宣传活动，孝亲里社区流动反诈宣传车扩大宣传覆盖面，尊贤里社区创新“绿豆传情 夏韵邻心”志愿服务项目，让反诈宣传等便民服务成为文明实践“流动课堂”。今年以来，累计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入户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宣传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2.5万余户，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设置或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张贴反诈海报、警示牌、提示语等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30000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余张，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悬挂横幅200余幅，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拍摄反诈宣传短视频150余条次，电信诈骗持续保持零发案。</w:t>
      </w:r>
      <w:r>
        <w:rPr>
          <w:rFonts w:hint="eastAsia" w:ascii="楷体" w:hAnsi="楷体" w:eastAsia="楷体" w:cs="楷体"/>
          <w:b/>
          <w:bCs/>
          <w:color w:val="000000"/>
          <w:spacing w:val="0"/>
          <w:sz w:val="32"/>
          <w:szCs w:val="32"/>
          <w:u w:val="none"/>
          <w:lang w:val="en-US" w:eastAsia="zh-CN"/>
        </w:rPr>
        <w:t>三是创新安全风险“四色”动态管理制度。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  <w:t>根据日常安全管理、隐患排查治理情况等，建立居民住户、经营场所安全风险四色动态管理台账，精准分级分类管控，提升隐患排查、风险预警的精准性，实现了风险因素隐患排查全周期系统闭环管理。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全年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组织全镇社区拉网排查 5000 家次，督促整改隐患 300 余处。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rtl w:val="0"/>
          <w:lang w:val="en-US" w:eastAsia="zh-CN"/>
        </w:rPr>
        <w:t>五、数字赋能基层治理，社会治理更加高效。</w:t>
      </w:r>
      <w:r>
        <w:rPr>
          <w:rFonts w:hint="eastAsia" w:ascii="仿宋" w:hAnsi="仿宋" w:eastAsia="仿宋" w:cs="Times New Roman"/>
          <w:spacing w:val="0"/>
          <w:sz w:val="32"/>
          <w:szCs w:val="32"/>
          <w:lang w:val="en-US" w:eastAsia="zh-CN"/>
        </w:rPr>
        <w:t>以数字化转型为突破口，建成城关镇智慧城市综合服务平台及3个社区示范点，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将党建、综治、政务、民生、安全等各项工作纳入一网管理，打造“一屏观全域、一线通上下、一格管全面、一键全处理”的智慧治理体系，全面推广运用“莘印象”和“莘连心”APP小程序，614名网格力量注册“莘印象”，2.5万余名居民激活“莘连心”，搭建起居民诉求“一键直达、接诉即办”便民通道，通过“大数据”平台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快速流转与网格力量发扬“铁脚板”精神及时响应，“数治”与“善治”交织融合，为基层治理装上“智慧大脑”，推动基层治理从“条块分割”到“一网统管”，从“群众跑腿”到“数据跑路”的深刻蜕变，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让基层治理更高效、服务更精准、响应更迅速。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目前，平台累计受理并办结各类民生事件1300余件，群众满意率达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98.87%。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0"/>
        <w:rPr>
          <w:rStyle w:val="12"/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六、学法用法，依法行政，法治政府建设水平不断提升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12"/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Style w:val="12"/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  <w:t>(一)增强法治意识。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深刻认识依法治国的重大意义，敬畏宪法法律，带头维护宪法法律权威，保证宪法法律实施。加大法律法规学习力度，邀请法院、检察院等行政部门负责同志解读相关法律法规制度，努力提升法治素养，提高知法懂法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12"/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Style w:val="12"/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  <w:t>(二)模范遵守法律。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严格对照党章规定，模范遵守国家法律法规，时刻绷紧法纪这根弦，严格按照法律规定行使权利、履行义务，绝不允许自己出现任何违纪违法的苗头性、倾向性问题。一年来没有发生以言代法、以权压法、徇私枉法或干预司法活动、插手具体案件处理等违纪违法的情况，为广大党员干部做好思想和行动上的表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12"/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Style w:val="12"/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  <w:t>(三)严格依法行政。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树立正确的政绩观，把遵纪守法、依法办事作为履职尽责、安身立命最基本的要求，坚持在法治的框架内处理和解决各种矛盾和问题，做到“法无授权不可为、法定职责必须为”，让权力和责任在法治的阳光下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olor w:val="000000"/>
          <w:spacing w:val="0"/>
          <w:w w:val="100"/>
          <w:kern w:val="44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spacing w:val="0"/>
          <w:w w:val="100"/>
          <w:kern w:val="44"/>
          <w:sz w:val="32"/>
          <w:szCs w:val="32"/>
          <w:lang w:val="en-US" w:eastAsia="zh-CN" w:bidi="ar"/>
        </w:rPr>
        <w:t>一年来，城关镇立足新起点、奋进新征程，紧紧依靠全镇广大干部群众，团结一心、真抓实干，各项工作上了一个新台阶，延续了发展好态势。但是距离上级党委政府的殷切期望、距离居民群众的热切期盼还有一定差距，还有许多难题需要去破解、许多挑战需要去战胜、许多风险需要去应对。船到中流浪更急、人到半山路更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下一步，城关镇将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坚持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以习近平新时代中国特色社会主义思想为指导，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深入学习贯彻省委、市委和县委全会精神，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紧扣全县“3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33”工作布局，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坚持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以党建引领为核心，聚焦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推动高效能治理和高质量发展，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通过盘活资源、多元共治、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项目支撑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数字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赋能等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多措并举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努力推动镇域经济社会高质量发展，为现代化卢氏建设贡献城关力量、彰显城关担当。</w:t>
      </w:r>
    </w:p>
    <w:p>
      <w:pPr>
        <w:numPr>
          <w:ilvl w:val="0"/>
          <w:numId w:val="0"/>
        </w:numPr>
        <w:ind w:leftChars="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卢氏县城关镇人民政府</w:t>
      </w:r>
    </w:p>
    <w:p>
      <w:pPr>
        <w:numPr>
          <w:ilvl w:val="0"/>
          <w:numId w:val="0"/>
        </w:numPr>
        <w:ind w:leftChars="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 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2"/>
        <w:rPr>
          <w:rFonts w:hint="eastAsia"/>
          <w:lang w:eastAsia="zh-CN"/>
        </w:rPr>
      </w:pPr>
    </w:p>
    <w:sectPr>
      <w:footerReference r:id="rId3" w:type="default"/>
      <w:pgSz w:w="11906" w:h="16838"/>
      <w:pgMar w:top="2154" w:right="1417" w:bottom="2154" w:left="164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A8EDBF-C37A-49A6-A7F3-62706DC2B41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093DE32-FDBC-4454-923A-5ED90285FD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FF301CA-7E38-4689-A833-A41659EEB87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A8B53BC-CA7E-4AC5-9F71-78E0CB28A21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9E81915-AEF6-4588-A257-8EE360E87137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9353F9DE-CEB3-4A65-B882-8B1B2834FF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YjBjYjZmMjJhNTA4ZjI3MmI5Y2ZhN2ExZDJlMzMifQ=="/>
  </w:docVars>
  <w:rsids>
    <w:rsidRoot w:val="00000000"/>
    <w:rsid w:val="007C717F"/>
    <w:rsid w:val="008B1170"/>
    <w:rsid w:val="009F4C1B"/>
    <w:rsid w:val="01EC5C3E"/>
    <w:rsid w:val="029D33DC"/>
    <w:rsid w:val="02EC7E70"/>
    <w:rsid w:val="038E54D3"/>
    <w:rsid w:val="03DD1CE2"/>
    <w:rsid w:val="03E22A1A"/>
    <w:rsid w:val="041A1188"/>
    <w:rsid w:val="04495B40"/>
    <w:rsid w:val="04891E6A"/>
    <w:rsid w:val="04D01847"/>
    <w:rsid w:val="05221E1B"/>
    <w:rsid w:val="05CF7D50"/>
    <w:rsid w:val="06A116ED"/>
    <w:rsid w:val="06DF5D71"/>
    <w:rsid w:val="07B2792A"/>
    <w:rsid w:val="07CA4C73"/>
    <w:rsid w:val="0A6240C7"/>
    <w:rsid w:val="0A854E82"/>
    <w:rsid w:val="0B8E420A"/>
    <w:rsid w:val="0B925AA8"/>
    <w:rsid w:val="0BC8771C"/>
    <w:rsid w:val="0BCB4B16"/>
    <w:rsid w:val="0C0157FC"/>
    <w:rsid w:val="0D3175AB"/>
    <w:rsid w:val="0DC3019B"/>
    <w:rsid w:val="0DDF6F9F"/>
    <w:rsid w:val="0E19600D"/>
    <w:rsid w:val="0E2A021A"/>
    <w:rsid w:val="0E63372C"/>
    <w:rsid w:val="0EB94FDD"/>
    <w:rsid w:val="0F933B9D"/>
    <w:rsid w:val="0FF02D9D"/>
    <w:rsid w:val="125A6BF4"/>
    <w:rsid w:val="12DA1AE3"/>
    <w:rsid w:val="13531FC1"/>
    <w:rsid w:val="138C102F"/>
    <w:rsid w:val="138E4DA7"/>
    <w:rsid w:val="145F732C"/>
    <w:rsid w:val="14771CDF"/>
    <w:rsid w:val="153A3139"/>
    <w:rsid w:val="156D6C3E"/>
    <w:rsid w:val="15792043"/>
    <w:rsid w:val="15EC4007"/>
    <w:rsid w:val="160B6B83"/>
    <w:rsid w:val="16BE1E47"/>
    <w:rsid w:val="170A0BE8"/>
    <w:rsid w:val="17231CAA"/>
    <w:rsid w:val="17A032FB"/>
    <w:rsid w:val="17FD24FB"/>
    <w:rsid w:val="18E80CA3"/>
    <w:rsid w:val="19040056"/>
    <w:rsid w:val="192D0BBE"/>
    <w:rsid w:val="1B334486"/>
    <w:rsid w:val="1C1C4F1A"/>
    <w:rsid w:val="1C986C96"/>
    <w:rsid w:val="1CD13F56"/>
    <w:rsid w:val="1D360FCD"/>
    <w:rsid w:val="1D81772B"/>
    <w:rsid w:val="1E0C793C"/>
    <w:rsid w:val="1E6F23FE"/>
    <w:rsid w:val="1F78690B"/>
    <w:rsid w:val="20B83463"/>
    <w:rsid w:val="22603DB2"/>
    <w:rsid w:val="22A53EBB"/>
    <w:rsid w:val="22C81958"/>
    <w:rsid w:val="22DE117B"/>
    <w:rsid w:val="23362D65"/>
    <w:rsid w:val="2418246B"/>
    <w:rsid w:val="242B03F0"/>
    <w:rsid w:val="245A5A70"/>
    <w:rsid w:val="247753E3"/>
    <w:rsid w:val="257162D7"/>
    <w:rsid w:val="25F50CB6"/>
    <w:rsid w:val="265A6D6B"/>
    <w:rsid w:val="269D047B"/>
    <w:rsid w:val="277D5407"/>
    <w:rsid w:val="27E62FAC"/>
    <w:rsid w:val="286955CC"/>
    <w:rsid w:val="286D547B"/>
    <w:rsid w:val="28BB0132"/>
    <w:rsid w:val="29037B8D"/>
    <w:rsid w:val="291B4ED7"/>
    <w:rsid w:val="2ACD0453"/>
    <w:rsid w:val="2BF51A0F"/>
    <w:rsid w:val="2C163734"/>
    <w:rsid w:val="2E0028F4"/>
    <w:rsid w:val="2E586286"/>
    <w:rsid w:val="2E8D23D3"/>
    <w:rsid w:val="2EB21E3A"/>
    <w:rsid w:val="2F5B602D"/>
    <w:rsid w:val="2FC5794B"/>
    <w:rsid w:val="30E3277E"/>
    <w:rsid w:val="31293F09"/>
    <w:rsid w:val="325154C6"/>
    <w:rsid w:val="326C67A3"/>
    <w:rsid w:val="34E95E89"/>
    <w:rsid w:val="35DB4923"/>
    <w:rsid w:val="36603F29"/>
    <w:rsid w:val="368F0CB2"/>
    <w:rsid w:val="36C100B2"/>
    <w:rsid w:val="36CA1CEB"/>
    <w:rsid w:val="37092813"/>
    <w:rsid w:val="371169B6"/>
    <w:rsid w:val="37C30C14"/>
    <w:rsid w:val="389C3213"/>
    <w:rsid w:val="389D76B7"/>
    <w:rsid w:val="38BD3DA2"/>
    <w:rsid w:val="38C509BB"/>
    <w:rsid w:val="39192AB4"/>
    <w:rsid w:val="39C028EE"/>
    <w:rsid w:val="39D72754"/>
    <w:rsid w:val="3A270767"/>
    <w:rsid w:val="3A535D3C"/>
    <w:rsid w:val="3B6B3E06"/>
    <w:rsid w:val="3BBA0580"/>
    <w:rsid w:val="3BCC2061"/>
    <w:rsid w:val="3C463BC1"/>
    <w:rsid w:val="3C875B46"/>
    <w:rsid w:val="3D2A703F"/>
    <w:rsid w:val="3D402D06"/>
    <w:rsid w:val="3D7F67E4"/>
    <w:rsid w:val="3EB23384"/>
    <w:rsid w:val="3F367F1D"/>
    <w:rsid w:val="3F710F55"/>
    <w:rsid w:val="3F8F3AD1"/>
    <w:rsid w:val="40FE4A6B"/>
    <w:rsid w:val="41894C7C"/>
    <w:rsid w:val="421C1939"/>
    <w:rsid w:val="427C033D"/>
    <w:rsid w:val="42D3364A"/>
    <w:rsid w:val="44103433"/>
    <w:rsid w:val="443C7F6F"/>
    <w:rsid w:val="4543441E"/>
    <w:rsid w:val="45BF21D5"/>
    <w:rsid w:val="462907DC"/>
    <w:rsid w:val="46491B9E"/>
    <w:rsid w:val="4760647F"/>
    <w:rsid w:val="47721D0E"/>
    <w:rsid w:val="482079BC"/>
    <w:rsid w:val="491756A2"/>
    <w:rsid w:val="49437E06"/>
    <w:rsid w:val="496F29A9"/>
    <w:rsid w:val="4A8A3813"/>
    <w:rsid w:val="4BF076A6"/>
    <w:rsid w:val="4C7F6C1D"/>
    <w:rsid w:val="4C8F5111"/>
    <w:rsid w:val="4C96649F"/>
    <w:rsid w:val="4D275349"/>
    <w:rsid w:val="4DAE053A"/>
    <w:rsid w:val="4E21623C"/>
    <w:rsid w:val="4E41243B"/>
    <w:rsid w:val="4F8B796F"/>
    <w:rsid w:val="4FF37764"/>
    <w:rsid w:val="5003209D"/>
    <w:rsid w:val="500E27F0"/>
    <w:rsid w:val="50155E9C"/>
    <w:rsid w:val="50487AB0"/>
    <w:rsid w:val="507C59AC"/>
    <w:rsid w:val="5109406A"/>
    <w:rsid w:val="51752B27"/>
    <w:rsid w:val="520438C1"/>
    <w:rsid w:val="526037D7"/>
    <w:rsid w:val="52E944F0"/>
    <w:rsid w:val="538B27D9"/>
    <w:rsid w:val="53AB407B"/>
    <w:rsid w:val="53DA3115"/>
    <w:rsid w:val="53E126F6"/>
    <w:rsid w:val="53F51CFD"/>
    <w:rsid w:val="54050157"/>
    <w:rsid w:val="54657061"/>
    <w:rsid w:val="555D2250"/>
    <w:rsid w:val="567422BA"/>
    <w:rsid w:val="56AC0CFC"/>
    <w:rsid w:val="574A6804"/>
    <w:rsid w:val="58030761"/>
    <w:rsid w:val="58201313"/>
    <w:rsid w:val="58276B45"/>
    <w:rsid w:val="583677FC"/>
    <w:rsid w:val="58EB36CF"/>
    <w:rsid w:val="594F1EAF"/>
    <w:rsid w:val="596040BD"/>
    <w:rsid w:val="596D2336"/>
    <w:rsid w:val="59F91E1B"/>
    <w:rsid w:val="5A2626AA"/>
    <w:rsid w:val="5A601E9A"/>
    <w:rsid w:val="5B2A0AFD"/>
    <w:rsid w:val="5B477137"/>
    <w:rsid w:val="5BE01627"/>
    <w:rsid w:val="5C841E70"/>
    <w:rsid w:val="5CDF419B"/>
    <w:rsid w:val="5D0D455B"/>
    <w:rsid w:val="5E6545DE"/>
    <w:rsid w:val="5E767EDE"/>
    <w:rsid w:val="5EFE32B3"/>
    <w:rsid w:val="5F36141C"/>
    <w:rsid w:val="5F441D8B"/>
    <w:rsid w:val="5FAB005C"/>
    <w:rsid w:val="5FBF1411"/>
    <w:rsid w:val="611A2DA3"/>
    <w:rsid w:val="61E84C4F"/>
    <w:rsid w:val="62675B5F"/>
    <w:rsid w:val="62F77414"/>
    <w:rsid w:val="63984453"/>
    <w:rsid w:val="63F0603D"/>
    <w:rsid w:val="644B0D88"/>
    <w:rsid w:val="64803865"/>
    <w:rsid w:val="64D37E39"/>
    <w:rsid w:val="65736F26"/>
    <w:rsid w:val="65901886"/>
    <w:rsid w:val="65C75D98"/>
    <w:rsid w:val="65E412E7"/>
    <w:rsid w:val="66C0263F"/>
    <w:rsid w:val="66E71979"/>
    <w:rsid w:val="679118E5"/>
    <w:rsid w:val="67CB3049"/>
    <w:rsid w:val="6A40414C"/>
    <w:rsid w:val="6A615A0F"/>
    <w:rsid w:val="6ABA1153"/>
    <w:rsid w:val="6B1E5B86"/>
    <w:rsid w:val="6B8A4FC9"/>
    <w:rsid w:val="6C7A3290"/>
    <w:rsid w:val="6CD97FB6"/>
    <w:rsid w:val="6E7361E8"/>
    <w:rsid w:val="6F1A254B"/>
    <w:rsid w:val="6F8D6E36"/>
    <w:rsid w:val="6FA67EF8"/>
    <w:rsid w:val="6FF11ABB"/>
    <w:rsid w:val="70054036"/>
    <w:rsid w:val="707A385E"/>
    <w:rsid w:val="70DD5B9B"/>
    <w:rsid w:val="70DF1913"/>
    <w:rsid w:val="713F3A62"/>
    <w:rsid w:val="71E05943"/>
    <w:rsid w:val="73320420"/>
    <w:rsid w:val="736E51D0"/>
    <w:rsid w:val="738E13CF"/>
    <w:rsid w:val="768A2321"/>
    <w:rsid w:val="76A74C81"/>
    <w:rsid w:val="7848060B"/>
    <w:rsid w:val="78E26444"/>
    <w:rsid w:val="79870D9A"/>
    <w:rsid w:val="799139C7"/>
    <w:rsid w:val="7A726D40"/>
    <w:rsid w:val="7B9B28DB"/>
    <w:rsid w:val="7BA86218"/>
    <w:rsid w:val="7BA93249"/>
    <w:rsid w:val="7BC65BA9"/>
    <w:rsid w:val="7CDB38D7"/>
    <w:rsid w:val="7CED53B8"/>
    <w:rsid w:val="7E330CD0"/>
    <w:rsid w:val="7E470AF8"/>
    <w:rsid w:val="7EC532F1"/>
    <w:rsid w:val="7F163912"/>
    <w:rsid w:val="7F64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rFonts w:ascii="Calibri" w:hAnsi="Calibri" w:eastAsia="宋体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next w:val="2"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next w:val="1"/>
    <w:qFormat/>
    <w:uiPriority w:val="0"/>
    <w:pPr>
      <w:spacing w:line="0" w:lineRule="atLeast"/>
    </w:pPr>
    <w:rPr>
      <w:rFonts w:eastAsia="小标宋"/>
      <w:sz w:val="44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next w:val="5"/>
    <w:unhideWhenUsed/>
    <w:qFormat/>
    <w:uiPriority w:val="99"/>
    <w:pPr>
      <w:spacing w:after="120" w:line="480" w:lineRule="auto"/>
    </w:pPr>
  </w:style>
  <w:style w:type="character" w:customStyle="1" w:styleId="12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4591</Words>
  <Characters>4847</Characters>
  <Lines>0</Lines>
  <Paragraphs>0</Paragraphs>
  <TotalTime>1</TotalTime>
  <ScaleCrop>false</ScaleCrop>
  <LinksUpToDate>false</LinksUpToDate>
  <CharactersWithSpaces>4857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2023-09-03T01:53:00Z</dcterms:created>
  <dc:creator>Administrator</dc:creator>
  <cp:lastModifiedBy>Sunshine</cp:lastModifiedBy>
  <dcterms:modified xsi:type="dcterms:W3CDTF">2026-03-17T07:24:58Z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DocerSaveRecord">
    <vt:lpwstr>eyJoZGlkIjoiMDNlYTAzYjRiODRlNjliZWI5Yzg5YTRlYjM5NjdjYzgiLCJ1c2VySWQiOiIyODQyODI2NDkifQ==</vt:lpwstr>
  </property>
  <property fmtid="{D5CDD505-2E9C-101B-9397-08002B2CF9AE}" pid="4" name="ICV">
    <vt:lpwstr>8A6122C5FFE54615A071CD1505EBDB4A_13</vt:lpwstr>
  </property>
</Properties>
</file>