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五里川镇</w:t>
      </w:r>
      <w:r>
        <w:rPr>
          <w:rFonts w:hint="eastAsia" w:ascii="方正小标宋简体" w:hAnsi="方正小标宋简体" w:eastAsia="方正小标宋简体" w:cs="方正小标宋简体"/>
          <w:sz w:val="44"/>
          <w:szCs w:val="44"/>
        </w:rPr>
        <w:t>2025</w:t>
      </w:r>
      <w:bookmarkStart w:id="0" w:name="_GoBack"/>
      <w:bookmarkEnd w:id="0"/>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eastAsia="zh-CN"/>
        </w:rPr>
        <w:t>情况汇报</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的坚强领导下，五里川镇坚持以习近平新时代中国特色社会主义思想为指导，全面贯彻落实习近平法治思想，深入学习贯彻落实党的二十大和党的二十届二中，三，四中全会精神，围绕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3833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工作布局，以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职能科学，权责法定，执法严明，公开公正，智能高效，廉洁诚信，人民满意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为目标，全面推进法治政府建设提质增效，为全镇经济社会高质量发展提供坚实法治保障。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总体推进情况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(一)贯彻落实党政主要负责人履行推进法治建设第一责任人职责规定方面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一是强化组织领导。</w:t>
      </w:r>
      <w:r>
        <w:rPr>
          <w:rFonts w:hint="eastAsia" w:ascii="仿宋_GB2312" w:hAnsi="仿宋_GB2312" w:eastAsia="仿宋_GB2312" w:cs="仿宋_GB2312"/>
          <w:sz w:val="32"/>
          <w:szCs w:val="32"/>
        </w:rPr>
        <w:t>动态调整法治建设工作领导小组，及时召开有关工作会议，强化党委在法治建设中的领导核心作用，统筹谋划与推动落实并重，树立全局观念，构建党委统一领导下的分工负责，协同推进的工作体系。</w:t>
      </w:r>
      <w:r>
        <w:rPr>
          <w:rFonts w:hint="eastAsia" w:ascii="仿宋_GB2312" w:hAnsi="仿宋_GB2312" w:eastAsia="仿宋_GB2312" w:cs="仿宋_GB2312"/>
          <w:b/>
          <w:bCs/>
          <w:sz w:val="32"/>
          <w:szCs w:val="32"/>
        </w:rPr>
        <w:t>二是坚持高位推动。</w:t>
      </w:r>
      <w:r>
        <w:rPr>
          <w:rFonts w:hint="eastAsia" w:ascii="仿宋_GB2312" w:hAnsi="仿宋_GB2312" w:eastAsia="仿宋_GB2312" w:cs="仿宋_GB2312"/>
          <w:sz w:val="32"/>
          <w:szCs w:val="32"/>
        </w:rPr>
        <w:t>把法治政府建设列入全镇年度工作要点和年度工作计划，研究确定年度法治建设工作目标，工作任务和具体措施，坚持将法治工作与镇经济社会发展同研究，同部署，同推进，同督促，组织各部门按职责分工实施，并按规定报告，公开年度法治政府建设报告。</w:t>
      </w:r>
      <w:r>
        <w:rPr>
          <w:rFonts w:hint="eastAsia" w:ascii="仿宋_GB2312" w:hAnsi="仿宋_GB2312" w:eastAsia="仿宋_GB2312" w:cs="仿宋_GB2312"/>
          <w:b/>
          <w:bCs/>
          <w:sz w:val="32"/>
          <w:szCs w:val="32"/>
        </w:rPr>
        <w:t>三是定期听取汇报。</w:t>
      </w:r>
      <w:r>
        <w:rPr>
          <w:rFonts w:hint="eastAsia" w:ascii="仿宋_GB2312" w:hAnsi="仿宋_GB2312" w:eastAsia="仿宋_GB2312" w:cs="仿宋_GB2312"/>
          <w:sz w:val="32"/>
          <w:szCs w:val="32"/>
        </w:rPr>
        <w:t>充分发挥党委在推进法治建设中的领导核心作用，党政主要负责人定期听取法治政府建设工作汇报，研究法治政府建设重大事项。在法治建设中，亲自部署重要工作，过问重大问题，协调重点环节，督办重要任务，强化对法治建设的规划，布置，推进和落实。</w:t>
      </w:r>
      <w:r>
        <w:rPr>
          <w:rFonts w:hint="eastAsia" w:ascii="仿宋_GB2312" w:hAnsi="仿宋_GB2312" w:eastAsia="仿宋_GB2312" w:cs="仿宋_GB2312"/>
          <w:b/>
          <w:bCs/>
          <w:sz w:val="32"/>
          <w:szCs w:val="32"/>
        </w:rPr>
        <w:t>四是带头贯彻落实。</w:t>
      </w:r>
      <w:r>
        <w:rPr>
          <w:rFonts w:hint="eastAsia" w:ascii="仿宋_GB2312" w:hAnsi="仿宋_GB2312" w:eastAsia="仿宋_GB2312" w:cs="仿宋_GB2312"/>
          <w:sz w:val="32"/>
          <w:szCs w:val="32"/>
        </w:rPr>
        <w:t>党政主要负责人坚持率先垂范，注重学行结合，及时召开党委会，班子会等有关工作会议，及时传达学习上级有关法治政府建设的重大决策部署，并结合实际研究贯彻落实意见，不断提高干部职工运用法治思维和法治方式解决问题的能力和水平。2025年以来，召开相关专题工作会议4次，参与人数达1500余人次。五是坚持依法决策。全面落实重大决策程序制度要求，将重大行政决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应纳尽纳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应管尽管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应晒尽晒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三重一大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集体决策机制，凡涉及人事，重大建设项目，重大决策等事项，坚持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集体领导，民主集中，个别酝酿，会议决定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的原则，做到科学决策，民主决策，依法决策，形成会议纪要，确保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三重一大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决策事项严格执行。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(二)依法行政方面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一是扎实推行政务公开。</w:t>
      </w:r>
      <w:r>
        <w:rPr>
          <w:rFonts w:hint="eastAsia" w:ascii="仿宋_GB2312" w:hAnsi="仿宋_GB2312" w:eastAsia="仿宋_GB2312" w:cs="仿宋_GB2312"/>
          <w:sz w:val="32"/>
          <w:szCs w:val="32"/>
        </w:rPr>
        <w:t>将广大群众关注的热点问题和民生问题，通过会议，文件，公示栏，微信群，镇村干部入户宣传等形式向社会公布，征求群众意见，主动接受群众监督。</w:t>
      </w:r>
      <w:r>
        <w:rPr>
          <w:rFonts w:hint="eastAsia" w:ascii="仿宋_GB2312" w:hAnsi="仿宋_GB2312" w:eastAsia="仿宋_GB2312" w:cs="仿宋_GB2312"/>
          <w:b/>
          <w:bCs/>
          <w:sz w:val="32"/>
          <w:szCs w:val="32"/>
        </w:rPr>
        <w:t>二是严格依法履行职责。</w:t>
      </w:r>
      <w:r>
        <w:rPr>
          <w:rFonts w:hint="eastAsia" w:ascii="仿宋_GB2312" w:hAnsi="仿宋_GB2312" w:eastAsia="仿宋_GB2312" w:cs="仿宋_GB2312"/>
          <w:sz w:val="32"/>
          <w:szCs w:val="32"/>
        </w:rPr>
        <w:t>严格规范执法类人员持证上岗和执法资格管理，建立行政机关执法投诉制度，受理人民群众对违法行政行为的投诉，严肃查处违法行政问题。同时，按照上级党委，政府的工作部署，在辖区范围内全面开展安全生产隐患大排查，大整治行动，依法加强对影响或危害食品药品，安全生产，网络安全，社会安全等领域重点问题的治理。2025年，检查5家电动自行车销售维修店，5家垃圾回收站，43家人员密集场所，整改安全隐患37处；排查整治道路隐患7处；推进烟花爆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工作，宣传教育经销商17家；累计检查经营单位230家次，整改隐患51处。安全生产形势平稳，辖区内无重大安全事故发生。</w:t>
      </w:r>
      <w:r>
        <w:rPr>
          <w:rFonts w:hint="eastAsia" w:ascii="仿宋_GB2312" w:hAnsi="仿宋_GB2312" w:eastAsia="仿宋_GB2312" w:cs="仿宋_GB2312"/>
          <w:b/>
          <w:bCs/>
          <w:sz w:val="32"/>
          <w:szCs w:val="32"/>
        </w:rPr>
        <w:t>三是明确部门权责清单。</w:t>
      </w:r>
      <w:r>
        <w:rPr>
          <w:rFonts w:hint="eastAsia" w:ascii="仿宋_GB2312" w:hAnsi="仿宋_GB2312" w:eastAsia="仿宋_GB2312" w:cs="仿宋_GB2312"/>
          <w:sz w:val="32"/>
          <w:szCs w:val="32"/>
        </w:rPr>
        <w:t>完成五里川镇履行职责事项清单，涉及平安法治16项；督促领导班子成员依法行政，强化对政府内部权力制约，积极纠正行政不作为，乱作为问题。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(三)学法用法普法方面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一是筹划特色普法活动。</w:t>
      </w:r>
      <w:r>
        <w:rPr>
          <w:rFonts w:hint="eastAsia" w:ascii="仿宋_GB2312" w:hAnsi="仿宋_GB2312" w:eastAsia="仿宋_GB2312" w:cs="仿宋_GB2312"/>
          <w:sz w:val="32"/>
          <w:szCs w:val="32"/>
        </w:rPr>
        <w:t>持续推出法律进校园，法律进机关，法律进乡村，法律进社区，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送法上门，以案释法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等特色普法活动50余场，发放宣传资料6000余份，覆盖群众逾万人次，真正让法律知识走进千家万户。</w:t>
      </w:r>
      <w:r>
        <w:rPr>
          <w:rFonts w:hint="eastAsia" w:ascii="仿宋_GB2312" w:hAnsi="仿宋_GB2312" w:eastAsia="仿宋_GB2312" w:cs="仿宋_GB2312"/>
          <w:b/>
          <w:bCs/>
          <w:sz w:val="32"/>
          <w:szCs w:val="32"/>
        </w:rPr>
        <w:t>二是铸牢普法宣传阵地。</w:t>
      </w:r>
      <w:r>
        <w:rPr>
          <w:rFonts w:hint="eastAsia" w:ascii="仿宋_GB2312" w:hAnsi="仿宋_GB2312" w:eastAsia="仿宋_GB2312" w:cs="仿宋_GB2312"/>
          <w:sz w:val="32"/>
          <w:szCs w:val="32"/>
        </w:rPr>
        <w:t>在全镇范围内设立法治文化宣传阵地9个，村(社区)法治宣传栏覆盖率达到100%，将与群众息息相关的《中华人民共和国宪法》《中华人民共和国民法典》等法律法规作为主打品牌，以漫画，格言，故事，警句等形式进行展示。</w:t>
      </w:r>
      <w:r>
        <w:rPr>
          <w:rFonts w:hint="eastAsia" w:ascii="仿宋_GB2312" w:hAnsi="仿宋_GB2312" w:eastAsia="仿宋_GB2312" w:cs="仿宋_GB2312"/>
          <w:b/>
          <w:bCs/>
          <w:sz w:val="32"/>
          <w:szCs w:val="32"/>
        </w:rPr>
        <w:t>三是组建普法宣传队伍。</w:t>
      </w:r>
      <w:r>
        <w:rPr>
          <w:rFonts w:hint="eastAsia" w:ascii="仿宋_GB2312" w:hAnsi="仿宋_GB2312" w:eastAsia="仿宋_GB2312" w:cs="仿宋_GB2312"/>
          <w:sz w:val="32"/>
          <w:szCs w:val="32"/>
        </w:rPr>
        <w:t>根据人员变动情况，及时调整9个村(社区)级普法宣传队，针对辖区群众关心的婚姻家庭，邻里矛盾，土地纠纷等焦点问题，通过宣传队伍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走村入户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，文艺会演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接地气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等方式进行普法宣传，让村民在喜闻乐见中提升法律意识，营造全镇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尊法学法守法用法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浓厚氛围。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(四)基层依法治理方面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一是深化工作机制。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镇干部+农户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包联机制全面深化，全体干部职工下沉一线。全年开展2轮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走村入户访民情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活动，共排查各类纠纷256件，全部化解到位；群众反映的114条急难愁盼问题全部解决。</w:t>
      </w:r>
      <w:r>
        <w:rPr>
          <w:rFonts w:hint="eastAsia" w:ascii="仿宋_GB2312" w:hAnsi="仿宋_GB2312" w:eastAsia="仿宋_GB2312" w:cs="仿宋_GB2312"/>
          <w:b/>
          <w:bCs/>
          <w:sz w:val="32"/>
          <w:szCs w:val="32"/>
        </w:rPr>
        <w:t>二是加强群防群治。</w:t>
      </w:r>
      <w:r>
        <w:rPr>
          <w:rFonts w:hint="eastAsia" w:ascii="仿宋_GB2312" w:hAnsi="仿宋_GB2312" w:eastAsia="仿宋_GB2312" w:cs="仿宋_GB2312"/>
          <w:sz w:val="32"/>
          <w:szCs w:val="32"/>
        </w:rPr>
        <w:t>组建以镇村干部为主的治安巡逻队，开展夜间巡查130余次，以实际行动当好群众的守夜人；对辖区129个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雪亮工程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进行更新维护，并与县平台联网，通过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技防+人防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相结合，密织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全方位，无缝隙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的治安大防范格局。</w:t>
      </w:r>
      <w:r>
        <w:rPr>
          <w:rFonts w:hint="eastAsia" w:ascii="仿宋_GB2312" w:hAnsi="仿宋_GB2312" w:eastAsia="仿宋_GB2312" w:cs="仿宋_GB2312"/>
          <w:b/>
          <w:bCs/>
          <w:sz w:val="32"/>
          <w:szCs w:val="32"/>
        </w:rPr>
        <w:t>三是推进依法治理。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化解矛盾纠纷维护社会稳定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专项治理工作扎实推进，办理交办信访案件8件，稳控重点人群9人；处理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政务热线84件，群众满意率达100%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(五)公共法律服务方面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积极发挥法律顾问的辅助作用，</w:t>
      </w:r>
      <w:r>
        <w:rPr>
          <w:rFonts w:hint="eastAsia" w:ascii="仿宋_GB2312" w:hAnsi="仿宋_GB2312" w:eastAsia="仿宋_GB2312" w:cs="仿宋_GB2312"/>
          <w:sz w:val="32"/>
          <w:szCs w:val="32"/>
        </w:rPr>
        <w:t>严格落实合法性审核，修订完善合同管理制度，对行政决策，合同，行政执法案件，政府信息公开等方面进行审核，有效防范风险隐患。2025年以来，镇司法所为村(社区)提供法律咨询40余次，调处重大纠纷6起，办理法律援助案件5件；调解矛盾纠纷308起，调成率达98%；解答法律咨询900余人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对基层法律服务所的工作人员职业道德和执业纪律教育，积极组织法律服务人员进行业务培训，并定期组织法律服务人员学习上级最新精神，提高自身素质和业务技能，法律服务人员未发生违法违纪现象。同时，加强民主法治示范村(社区)创建，每个村(社区)均配备法治副书记和法律顾问，为群众提供法律咨询，法律援助等服务，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一约五会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等村规民约，推进村民自治制度化，规范化。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(一)法治建设队伍不够健全，专业水平有待提高。</w:t>
      </w:r>
      <w:r>
        <w:rPr>
          <w:rFonts w:hint="eastAsia" w:ascii="仿宋_GB2312" w:hAnsi="仿宋_GB2312" w:eastAsia="仿宋_GB2312" w:cs="仿宋_GB2312"/>
          <w:sz w:val="32"/>
          <w:szCs w:val="32"/>
        </w:rPr>
        <w:t>基层行政执法工作人员往往身兼数职，缺乏系统化，专门化的理论素养提升和专项法治学习，法律业务能力和行政执法能力有待进一步提高。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(二)普法教育形式枯燥，不能结合日常工作实际。</w:t>
      </w:r>
      <w:r>
        <w:rPr>
          <w:rFonts w:hint="eastAsia" w:ascii="仿宋_GB2312" w:hAnsi="仿宋_GB2312" w:eastAsia="仿宋_GB2312" w:cs="仿宋_GB2312"/>
          <w:sz w:val="32"/>
          <w:szCs w:val="32"/>
        </w:rPr>
        <w:t>普法方式较为传统，主要采取挂横幅，贴标语，印发宣传资料等枯燥形式进行普法，村民兴趣不高，普法缺乏实效。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下步打算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(一)加强法治队伍建设。</w:t>
      </w:r>
      <w:r>
        <w:rPr>
          <w:rFonts w:hint="eastAsia" w:ascii="仿宋_GB2312" w:hAnsi="仿宋_GB2312" w:eastAsia="仿宋_GB2312" w:cs="仿宋_GB2312"/>
          <w:sz w:val="32"/>
          <w:szCs w:val="32"/>
        </w:rPr>
        <w:t>加强对干部的法治教育培训，采取多种形式进行法治思想教育，不断开展自学，带领党员干部集中学，努力提高党员干部法律素质；要重视培养和提拔使用法治素养好，依法办事能力强的领导干部，把遵守法律，依法办事情况作为考察干部的重要内容，切实加强法治工作队伍建设，不断优化干部队伍结构，为法治政府建设积极作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(二)提高依法行政能力。</w:t>
      </w:r>
      <w:r>
        <w:rPr>
          <w:rFonts w:hint="eastAsia" w:ascii="仿宋_GB2312" w:hAnsi="仿宋_GB2312" w:eastAsia="仿宋_GB2312" w:cs="仿宋_GB2312"/>
          <w:sz w:val="32"/>
          <w:szCs w:val="32"/>
        </w:rPr>
        <w:t>加强行政执法队伍建设，加大对行政执法人员的培训力度，提高执法人员的法律素养和业务能力；进一步完善行政执法程序，规范执法行为，强化综合执法部门与专业执法部门协调联动，提高执法人员素质和执法水平；加大执法监督力度，建立健全行政执法监督机制，加强对行政执法行为的日常监督和检查，及时纠正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(三)加强普法宣传教育。</w:t>
      </w:r>
      <w:r>
        <w:rPr>
          <w:rFonts w:hint="eastAsia" w:ascii="仿宋_GB2312" w:hAnsi="仿宋_GB2312" w:eastAsia="仿宋_GB2312" w:cs="仿宋_GB2312"/>
          <w:sz w:val="32"/>
          <w:szCs w:val="32"/>
        </w:rPr>
        <w:t>开拓思路，寻找新渠道，创新法治宣传教育的方式方法，充分利用新媒体，新技术等方式，开展形式多样，内容丰富的法治宣传教育活动。充分发挥法律明白人，普法志愿者，人民调解员等队伍在法治宣传工作中的主力军作用，组织他们广泛深入村组，社区，学校现场讲法，以案说法，根据不同群体的法治需求，制定个性化的法治宣传教育方案，提高法治宣传的针对性和实效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9E91B-9D35-462B-AAB7-D7ED26ECC6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A54C808D-0DCA-4424-96E6-91D014067BFD}"/>
  </w:font>
  <w:font w:name="仿宋_GB2312">
    <w:panose1 w:val="02010609030101010101"/>
    <w:charset w:val="86"/>
    <w:family w:val="auto"/>
    <w:pitch w:val="default"/>
    <w:sig w:usb0="00000001" w:usb1="080E0000" w:usb2="00000000" w:usb3="00000000" w:csb0="00040000" w:csb1="00000000"/>
    <w:embedRegular r:id="rId3" w:fontKey="{167DBD38-8AE1-410F-BA73-B8A870BD1CBD}"/>
  </w:font>
  <w:font w:name="楷体">
    <w:panose1 w:val="02010609060101010101"/>
    <w:charset w:val="86"/>
    <w:family w:val="auto"/>
    <w:pitch w:val="default"/>
    <w:sig w:usb0="800002BF" w:usb1="38CF7CFA" w:usb2="00000016" w:usb3="00000000" w:csb0="00040001" w:csb1="00000000"/>
    <w:embedRegular r:id="rId4" w:fontKey="{DE47934F-10A9-4399-AC46-37412EB805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387C21BE"/>
    <w:rsid w:val="5B23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2026-03-13T01:01:00Z</dcterms:created>
  <dc:creator>Administrator</dc:creator>
  <cp:lastModifiedBy>Sunshine</cp:lastModifiedBy>
  <dcterms:modified xsi:type="dcterms:W3CDTF">2026-03-17T07:42:46Z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3D77EE0924544351A4453FD7D212FD19_12</vt:lpwstr>
  </property>
</Properties>
</file>