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eastAsia" w:ascii="方正小标宋简体" w:hAnsi="方正小标宋简体" w:eastAsia="方正小标宋简体" w:cs="方正小标宋简体"/>
          <w:sz w:val="44"/>
          <w:szCs w:val="44"/>
          <w:lang w:eastAsia="zh-CN"/>
        </w:rPr>
      </w:pPr>
      <w:r>
        <w:rPr>
          <w:rFonts w:hint="eastAsia" w:ascii="方正小标宋简体" w:hAnsi="方正小标宋简体" w:eastAsia="方正小标宋简体" w:cs="方正小标宋简体"/>
          <w:sz w:val="44"/>
          <w:szCs w:val="44"/>
        </w:rPr>
        <w:t>狮子坪乡2025年度法治政府建设</w:t>
      </w:r>
      <w:r>
        <w:rPr>
          <w:rFonts w:hint="eastAsia" w:ascii="方正小标宋简体" w:hAnsi="方正小标宋简体" w:eastAsia="方正小标宋简体" w:cs="方正小标宋简体"/>
          <w:sz w:val="44"/>
          <w:szCs w:val="44"/>
          <w:lang w:eastAsia="zh-CN"/>
        </w:rPr>
        <w:t>情况报告</w:t>
      </w:r>
    </w:p>
    <w:p>
      <w:pPr>
        <w:keepNext w:val="0"/>
        <w:keepLines w:val="0"/>
        <w:pageBreakBefore w:val="0"/>
        <w:widowControl w:val="0"/>
        <w:kinsoku/>
        <w:wordWrap/>
        <w:overflowPunct/>
        <w:topLinePunct w:val="0"/>
        <w:autoSpaceDE/>
        <w:autoSpaceDN/>
        <w:bidi w:val="0"/>
        <w:adjustRightInd/>
        <w:snapToGrid/>
        <w:spacing w:before="313" w:beforeLines="100" w:line="580" w:lineRule="exact"/>
        <w:ind w:firstLine="640" w:firstLineChars="200"/>
        <w:textAlignment w:val="auto"/>
        <w:rPr>
          <w:rFonts w:hint="eastAsia"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rPr>
        <w:t>2025年，在县委、县政府的坚强领导下，狮子坪乡坚持以习近平新时代中国特色社会主义思想为指导，深入学习贯彻习近平法治思想，全面贯彻落实党的二十大及二十届历次全会精神，紧紧围绕建设职能科学、权责法定、执法严明、公开公正、廉洁高效、守法诚信的法治政府目标，持续深化法治建设，现将年度工作情况报告如下</w:t>
      </w:r>
      <w:r>
        <w:rPr>
          <w:rFonts w:hint="eastAsia" w:ascii="Times New Roman" w:hAnsi="Times New Roman" w:eastAsia="仿宋_GB2312" w:cs="Times New Roman"/>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一、强化组织领导，法治建设持续深化</w:t>
      </w:r>
    </w:p>
    <w:p>
      <w:pPr>
        <w:keepNext w:val="0"/>
        <w:keepLines w:val="0"/>
        <w:pageBreakBefore w:val="0"/>
        <w:widowControl w:val="0"/>
        <w:kinsoku/>
        <w:wordWrap/>
        <w:overflowPunct/>
        <w:topLinePunct w:val="0"/>
        <w:autoSpaceDE/>
        <w:autoSpaceDN/>
        <w:bidi w:val="0"/>
        <w:adjustRightInd/>
        <w:snapToGrid/>
        <w:spacing w:line="580" w:lineRule="exact"/>
        <w:ind w:firstLine="643" w:firstLineChars="200"/>
        <w:textAlignment w:val="auto"/>
        <w:rPr>
          <w:rFonts w:hint="default" w:ascii="Times New Roman" w:hAnsi="Times New Roman" w:eastAsia="仿宋_GB2312" w:cs="Times New Roman"/>
          <w:sz w:val="32"/>
          <w:szCs w:val="32"/>
        </w:rPr>
      </w:pPr>
      <w:r>
        <w:rPr>
          <w:rFonts w:hint="eastAsia" w:ascii="楷体" w:hAnsi="楷体" w:eastAsia="楷体" w:cs="楷体"/>
          <w:b/>
          <w:bCs/>
          <w:sz w:val="32"/>
          <w:szCs w:val="32"/>
        </w:rPr>
        <w:t>（一）严格落实法治建设第一责任人职责。</w:t>
      </w:r>
      <w:r>
        <w:rPr>
          <w:rFonts w:hint="default" w:ascii="Times New Roman" w:hAnsi="Times New Roman" w:eastAsia="仿宋_GB2312" w:cs="Times New Roman"/>
          <w:sz w:val="32"/>
          <w:szCs w:val="32"/>
        </w:rPr>
        <w:t>乡党政主要负责人认真履行推进法治建设第一贵任人职责，坚持将法治建设纳入年度重点工作和经济社会发展总体规划，做到亲自部署、亲自</w:t>
      </w:r>
      <w:r>
        <w:rPr>
          <w:rFonts w:hint="eastAsia" w:ascii="Times New Roman" w:hAnsi="Times New Roman" w:eastAsia="仿宋_GB2312" w:cs="Times New Roman"/>
          <w:sz w:val="32"/>
          <w:szCs w:val="32"/>
          <w:lang w:eastAsia="zh-CN"/>
        </w:rPr>
        <w:t>协调</w:t>
      </w:r>
      <w:r>
        <w:rPr>
          <w:rFonts w:hint="default" w:ascii="Times New Roman" w:hAnsi="Times New Roman" w:eastAsia="仿宋_GB2312" w:cs="Times New Roman"/>
          <w:sz w:val="32"/>
          <w:szCs w:val="32"/>
        </w:rPr>
        <w:t>、亲自督办。全年召开党委会议专题研究法治建设工作5次，研究解决法治宣传、行政执法、矛盾化解等方面的实际问题8个。</w:t>
      </w:r>
    </w:p>
    <w:p>
      <w:pPr>
        <w:keepNext w:val="0"/>
        <w:keepLines w:val="0"/>
        <w:pageBreakBefore w:val="0"/>
        <w:widowControl w:val="0"/>
        <w:kinsoku/>
        <w:wordWrap/>
        <w:overflowPunct/>
        <w:topLinePunct w:val="0"/>
        <w:autoSpaceDE/>
        <w:autoSpaceDN/>
        <w:bidi w:val="0"/>
        <w:adjustRightInd/>
        <w:snapToGrid/>
        <w:spacing w:line="580" w:lineRule="exact"/>
        <w:ind w:firstLine="643" w:firstLineChars="200"/>
        <w:textAlignment w:val="auto"/>
        <w:rPr>
          <w:rFonts w:hint="default" w:ascii="Times New Roman" w:hAnsi="Times New Roman" w:eastAsia="仿宋_GB2312" w:cs="Times New Roman"/>
          <w:sz w:val="32"/>
          <w:szCs w:val="32"/>
        </w:rPr>
      </w:pPr>
      <w:r>
        <w:rPr>
          <w:rFonts w:hint="default" w:ascii="楷体" w:hAnsi="楷体" w:eastAsia="楷体" w:cs="楷体"/>
          <w:b/>
          <w:bCs/>
          <w:sz w:val="32"/>
          <w:szCs w:val="32"/>
        </w:rPr>
        <w:t>（二）健全法治建设领导机制。</w:t>
      </w:r>
      <w:r>
        <w:rPr>
          <w:rFonts w:hint="default" w:ascii="Times New Roman" w:hAnsi="Times New Roman" w:eastAsia="仿宋_GB2312" w:cs="Times New Roman"/>
          <w:sz w:val="32"/>
          <w:szCs w:val="32"/>
        </w:rPr>
        <w:t>调整充实依法治乡工作领导小组，完善乡党委统一领导、党政齐抓共管、各部门协同推进的工作格局。继续落实领导班子和领导干部述职述法制度，与领导班子其他成员签订法治建设</w:t>
      </w:r>
      <w:r>
        <w:rPr>
          <w:rFonts w:hint="eastAsia" w:ascii="Times New Roman" w:hAnsi="Times New Roman" w:eastAsia="仿宋_GB2312" w:cs="Times New Roman"/>
          <w:sz w:val="32"/>
          <w:szCs w:val="32"/>
          <w:lang w:eastAsia="zh-CN"/>
        </w:rPr>
        <w:t>责任书</w:t>
      </w:r>
      <w:r>
        <w:rPr>
          <w:rFonts w:hint="default" w:ascii="Times New Roman" w:hAnsi="Times New Roman" w:eastAsia="仿宋_GB2312" w:cs="Times New Roman"/>
          <w:sz w:val="32"/>
          <w:szCs w:val="32"/>
        </w:rPr>
        <w:t>，推动法治建设责任层层传导、压紧压实。</w:t>
      </w:r>
    </w:p>
    <w:p>
      <w:pPr>
        <w:keepNext w:val="0"/>
        <w:keepLines w:val="0"/>
        <w:pageBreakBefore w:val="0"/>
        <w:widowControl w:val="0"/>
        <w:kinsoku/>
        <w:wordWrap/>
        <w:overflowPunct/>
        <w:topLinePunct w:val="0"/>
        <w:autoSpaceDE/>
        <w:autoSpaceDN/>
        <w:bidi w:val="0"/>
        <w:adjustRightInd/>
        <w:snapToGrid/>
        <w:spacing w:line="580" w:lineRule="exact"/>
        <w:ind w:firstLine="643" w:firstLineChars="200"/>
        <w:textAlignment w:val="auto"/>
        <w:rPr>
          <w:rFonts w:hint="default" w:ascii="Times New Roman" w:hAnsi="Times New Roman" w:eastAsia="仿宋_GB2312" w:cs="Times New Roman"/>
          <w:sz w:val="32"/>
          <w:szCs w:val="32"/>
        </w:rPr>
      </w:pPr>
      <w:r>
        <w:rPr>
          <w:rFonts w:hint="default" w:ascii="楷体" w:hAnsi="楷体" w:eastAsia="楷体" w:cs="楷体"/>
          <w:b/>
          <w:bCs/>
          <w:sz w:val="32"/>
          <w:szCs w:val="32"/>
        </w:rPr>
        <w:t>（三）深化理论学习与宣传。</w:t>
      </w:r>
      <w:r>
        <w:rPr>
          <w:rFonts w:hint="default" w:ascii="Times New Roman" w:hAnsi="Times New Roman" w:eastAsia="仿宋_GB2312" w:cs="Times New Roman"/>
          <w:sz w:val="32"/>
          <w:szCs w:val="32"/>
        </w:rPr>
        <w:t>深化理论学习与宣传。将习近平法治思想纳入党委理论学习中心组重点学习内容，组织开展专题学习4次，开展“法治建设大家谈”专题研讨2次。结合“八五”普法规划，持续推进习近平法治思想进机关、进乡村、进校园，营造浓厚法治氛围。组织全乡机关干部、村“两委”班子成员、驻村工作队开展法治专题培训6次，覆盖200余人次，提升</w:t>
      </w:r>
      <w:r>
        <w:rPr>
          <w:rFonts w:hint="eastAsia" w:ascii="Times New Roman" w:hAnsi="Times New Roman" w:eastAsia="仿宋_GB2312" w:cs="Times New Roman"/>
          <w:sz w:val="32"/>
          <w:szCs w:val="32"/>
          <w:lang w:eastAsia="zh-CN"/>
        </w:rPr>
        <w:t>基层</w:t>
      </w:r>
      <w:r>
        <w:rPr>
          <w:rFonts w:hint="default" w:ascii="Times New Roman" w:hAnsi="Times New Roman" w:eastAsia="仿宋_GB2312" w:cs="Times New Roman"/>
          <w:sz w:val="32"/>
          <w:szCs w:val="32"/>
        </w:rPr>
        <w:t>依法治理能力。</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二、完善决策机制，行政决策更加规范</w:t>
      </w:r>
    </w:p>
    <w:p>
      <w:pPr>
        <w:keepNext w:val="0"/>
        <w:keepLines w:val="0"/>
        <w:pageBreakBefore w:val="0"/>
        <w:widowControl w:val="0"/>
        <w:kinsoku/>
        <w:wordWrap/>
        <w:overflowPunct/>
        <w:topLinePunct w:val="0"/>
        <w:autoSpaceDE/>
        <w:autoSpaceDN/>
        <w:bidi w:val="0"/>
        <w:adjustRightInd/>
        <w:snapToGrid/>
        <w:spacing w:line="580" w:lineRule="exact"/>
        <w:ind w:firstLine="643" w:firstLineChars="200"/>
        <w:textAlignment w:val="auto"/>
        <w:rPr>
          <w:rFonts w:hint="default" w:ascii="Times New Roman" w:hAnsi="Times New Roman" w:eastAsia="仿宋_GB2312" w:cs="Times New Roman"/>
          <w:sz w:val="32"/>
          <w:szCs w:val="32"/>
        </w:rPr>
      </w:pPr>
      <w:r>
        <w:rPr>
          <w:rFonts w:hint="default" w:ascii="楷体" w:hAnsi="楷体" w:eastAsia="楷体" w:cs="楷体"/>
          <w:b/>
          <w:bCs/>
          <w:sz w:val="32"/>
          <w:szCs w:val="32"/>
        </w:rPr>
        <w:t>（一）强化合法性审查。</w:t>
      </w:r>
      <w:r>
        <w:rPr>
          <w:rFonts w:hint="default" w:ascii="Times New Roman" w:hAnsi="Times New Roman" w:eastAsia="仿宋_GB2312" w:cs="Times New Roman"/>
          <w:sz w:val="32"/>
          <w:szCs w:val="32"/>
        </w:rPr>
        <w:t>强化合法性审查。严格落实重大行政决策合法性审查机制，凡涉及法律事项的决策一律先由乡法制机构结合法律顾问意见进行合法性审查，未经审查或审查不合法的坚决不予通过，全年共对乡域产业发展规划、集体资产处置、重点项目建设等13项重大决策进行合法性审查，确保决策依法合规。</w:t>
      </w:r>
    </w:p>
    <w:p>
      <w:pPr>
        <w:keepNext w:val="0"/>
        <w:keepLines w:val="0"/>
        <w:pageBreakBefore w:val="0"/>
        <w:widowControl w:val="0"/>
        <w:kinsoku/>
        <w:wordWrap/>
        <w:overflowPunct/>
        <w:topLinePunct w:val="0"/>
        <w:autoSpaceDE/>
        <w:autoSpaceDN/>
        <w:bidi w:val="0"/>
        <w:adjustRightInd/>
        <w:snapToGrid/>
        <w:spacing w:line="580" w:lineRule="exact"/>
        <w:ind w:firstLine="643" w:firstLineChars="200"/>
        <w:textAlignment w:val="auto"/>
        <w:rPr>
          <w:rFonts w:hint="default" w:ascii="Times New Roman" w:hAnsi="Times New Roman" w:eastAsia="仿宋_GB2312" w:cs="Times New Roman"/>
          <w:sz w:val="32"/>
          <w:szCs w:val="32"/>
        </w:rPr>
      </w:pPr>
      <w:r>
        <w:rPr>
          <w:rFonts w:hint="default" w:ascii="楷体" w:hAnsi="楷体" w:eastAsia="楷体" w:cs="楷体"/>
          <w:b/>
          <w:bCs/>
          <w:sz w:val="32"/>
          <w:szCs w:val="32"/>
        </w:rPr>
        <w:t>（二）健全决策程序。</w:t>
      </w:r>
      <w:r>
        <w:rPr>
          <w:rFonts w:hint="default" w:ascii="Times New Roman" w:hAnsi="Times New Roman" w:eastAsia="仿宋_GB2312" w:cs="Times New Roman"/>
          <w:sz w:val="32"/>
          <w:szCs w:val="32"/>
        </w:rPr>
        <w:t>严格执行《重大行政决策程序暂行条例》，修订完善《狮子坪乡党委会议事规则》《狮子坪乡人民政府工作规则》，全面落实公众参与、专家论证、风险评估、合法</w:t>
      </w:r>
      <w:r>
        <w:rPr>
          <w:rFonts w:hint="eastAsia" w:ascii="Times New Roman" w:hAnsi="Times New Roman" w:eastAsia="仿宋_GB2312" w:cs="Times New Roman"/>
          <w:sz w:val="32"/>
          <w:szCs w:val="32"/>
          <w:lang w:eastAsia="zh-CN"/>
        </w:rPr>
        <w:t>性</w:t>
      </w:r>
      <w:r>
        <w:rPr>
          <w:rFonts w:hint="default" w:ascii="Times New Roman" w:hAnsi="Times New Roman" w:eastAsia="仿宋_GB2312" w:cs="Times New Roman"/>
          <w:sz w:val="32"/>
          <w:szCs w:val="32"/>
        </w:rPr>
        <w:t>审查、集体讨论决定等程序，凡属重大决策、重要人事任免、重大项目安排和大额度资金使用等事项，均由党委会议集体讨论决定，全年召开党委会议研究重大事项</w:t>
      </w:r>
    </w:p>
    <w:p>
      <w:pPr>
        <w:keepNext w:val="0"/>
        <w:keepLines w:val="0"/>
        <w:pageBreakBefore w:val="0"/>
        <w:widowControl w:val="0"/>
        <w:kinsoku/>
        <w:wordWrap/>
        <w:overflowPunct/>
        <w:topLinePunct w:val="0"/>
        <w:autoSpaceDE/>
        <w:autoSpaceDN/>
        <w:bidi w:val="0"/>
        <w:adjustRightInd/>
        <w:snapToGrid/>
        <w:spacing w:line="580" w:lineRule="exact"/>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28次，无违规决策情况发生，增强决策的科学性和透明度。</w:t>
      </w:r>
    </w:p>
    <w:p>
      <w:pPr>
        <w:keepNext w:val="0"/>
        <w:keepLines w:val="0"/>
        <w:pageBreakBefore w:val="0"/>
        <w:widowControl w:val="0"/>
        <w:kinsoku/>
        <w:wordWrap/>
        <w:overflowPunct/>
        <w:topLinePunct w:val="0"/>
        <w:autoSpaceDE/>
        <w:autoSpaceDN/>
        <w:bidi w:val="0"/>
        <w:adjustRightInd/>
        <w:snapToGrid/>
        <w:spacing w:line="580" w:lineRule="exact"/>
        <w:ind w:firstLine="643" w:firstLineChars="200"/>
        <w:textAlignment w:val="auto"/>
        <w:rPr>
          <w:rFonts w:hint="default" w:ascii="Times New Roman" w:hAnsi="Times New Roman" w:eastAsia="仿宋_GB2312" w:cs="Times New Roman"/>
          <w:sz w:val="32"/>
          <w:szCs w:val="32"/>
        </w:rPr>
      </w:pPr>
      <w:r>
        <w:rPr>
          <w:rFonts w:hint="default" w:ascii="楷体" w:hAnsi="楷体" w:eastAsia="楷体" w:cs="楷体"/>
          <w:b/>
          <w:bCs/>
          <w:sz w:val="32"/>
          <w:szCs w:val="32"/>
        </w:rPr>
        <w:t>（三）发挥法律顾问作用。</w:t>
      </w:r>
      <w:r>
        <w:rPr>
          <w:rFonts w:hint="default" w:ascii="Times New Roman" w:hAnsi="Times New Roman" w:eastAsia="仿宋_GB2312" w:cs="Times New Roman"/>
          <w:sz w:val="32"/>
          <w:szCs w:val="32"/>
        </w:rPr>
        <w:t>聘请 2名专职法律顾问，全程参与重大行政决策、合同审查、信访事项处理、规范性文件制定等法律事务。为乡域内民宿、中药材种植合作社等市场主体上门提供合同审查、纠纷调解等法律服务16次，帮助解决法律问题</w:t>
      </w:r>
      <w:r>
        <w:rPr>
          <w:rFonts w:hint="eastAsia" w:ascii="Times New Roman" w:hAnsi="Times New Roman" w:eastAsia="仿宋_GB2312" w:cs="Times New Roman"/>
          <w:sz w:val="32"/>
          <w:szCs w:val="32"/>
          <w:lang w:val="en-US" w:eastAsia="zh-CN"/>
        </w:rPr>
        <w:t>11</w:t>
      </w:r>
      <w:r>
        <w:rPr>
          <w:rFonts w:hint="default" w:ascii="Times New Roman" w:hAnsi="Times New Roman" w:eastAsia="仿宋_GB2312" w:cs="Times New Roman"/>
          <w:sz w:val="32"/>
          <w:szCs w:val="32"/>
        </w:rPr>
        <w:t>个，有效防范法律风险。</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三、提升执法水平，行政执法更加规范高效</w:t>
      </w:r>
    </w:p>
    <w:p>
      <w:pPr>
        <w:keepNext w:val="0"/>
        <w:keepLines w:val="0"/>
        <w:pageBreakBefore w:val="0"/>
        <w:widowControl w:val="0"/>
        <w:kinsoku/>
        <w:wordWrap/>
        <w:overflowPunct/>
        <w:topLinePunct w:val="0"/>
        <w:autoSpaceDE/>
        <w:autoSpaceDN/>
        <w:bidi w:val="0"/>
        <w:adjustRightInd/>
        <w:snapToGrid/>
        <w:spacing w:line="580" w:lineRule="exact"/>
        <w:ind w:firstLine="643" w:firstLineChars="200"/>
        <w:textAlignment w:val="auto"/>
        <w:rPr>
          <w:rFonts w:hint="default" w:ascii="Times New Roman" w:hAnsi="Times New Roman" w:eastAsia="仿宋_GB2312" w:cs="Times New Roman"/>
          <w:sz w:val="32"/>
          <w:szCs w:val="32"/>
        </w:rPr>
      </w:pPr>
      <w:r>
        <w:rPr>
          <w:rFonts w:hint="default" w:ascii="楷体" w:hAnsi="楷体" w:eastAsia="楷体" w:cs="楷体"/>
          <w:b/>
          <w:bCs/>
          <w:sz w:val="32"/>
          <w:szCs w:val="32"/>
        </w:rPr>
        <w:t>（一）完善执法协调机制。</w:t>
      </w:r>
      <w:r>
        <w:rPr>
          <w:rFonts w:hint="default" w:ascii="Times New Roman" w:hAnsi="Times New Roman" w:eastAsia="仿宋_GB2312" w:cs="Times New Roman"/>
          <w:sz w:val="32"/>
          <w:szCs w:val="32"/>
        </w:rPr>
        <w:t>完善执法协调机制。充分发挥综合行政执法委员会作用，统筹协调</w:t>
      </w:r>
      <w:r>
        <w:rPr>
          <w:rFonts w:hint="eastAsia" w:ascii="Times New Roman" w:hAnsi="Times New Roman" w:eastAsia="仿宋_GB2312" w:cs="Times New Roman"/>
          <w:sz w:val="32"/>
          <w:szCs w:val="32"/>
          <w:lang w:eastAsia="zh-CN"/>
        </w:rPr>
        <w:t>执法</w:t>
      </w:r>
      <w:r>
        <w:rPr>
          <w:rFonts w:hint="default" w:ascii="Times New Roman" w:hAnsi="Times New Roman" w:eastAsia="仿宋_GB2312" w:cs="Times New Roman"/>
          <w:sz w:val="32"/>
          <w:szCs w:val="32"/>
        </w:rPr>
        <w:t>力量，明确职贵分工，强化部门联动，提升执法协同效能。全年开展综合行政执法行动18次，查处违法违规行为</w:t>
      </w:r>
      <w:r>
        <w:rPr>
          <w:rFonts w:hint="eastAsia" w:ascii="Times New Roman" w:hAnsi="Times New Roman" w:eastAsia="仿宋_GB2312" w:cs="Times New Roman"/>
          <w:sz w:val="32"/>
          <w:szCs w:val="32"/>
          <w:lang w:val="en-US" w:eastAsia="zh-CN"/>
        </w:rPr>
        <w:t>23</w:t>
      </w:r>
      <w:r>
        <w:rPr>
          <w:rFonts w:hint="default" w:ascii="Times New Roman" w:hAnsi="Times New Roman" w:eastAsia="仿宋_GB2312" w:cs="Times New Roman"/>
          <w:sz w:val="32"/>
          <w:szCs w:val="32"/>
        </w:rPr>
        <w:t>起，均做到事实</w:t>
      </w:r>
      <w:r>
        <w:rPr>
          <w:rFonts w:hint="eastAsia" w:ascii="Times New Roman" w:hAnsi="Times New Roman" w:eastAsia="仿宋_GB2312" w:cs="Times New Roman"/>
          <w:sz w:val="32"/>
          <w:szCs w:val="32"/>
          <w:lang w:eastAsia="zh-CN"/>
        </w:rPr>
        <w:t>清楚</w:t>
      </w:r>
      <w:r>
        <w:rPr>
          <w:rFonts w:hint="default" w:ascii="Times New Roman" w:hAnsi="Times New Roman" w:eastAsia="仿宋_GB2312" w:cs="Times New Roman"/>
          <w:sz w:val="32"/>
          <w:szCs w:val="32"/>
        </w:rPr>
        <w:t>、证据</w:t>
      </w:r>
      <w:r>
        <w:rPr>
          <w:rFonts w:hint="eastAsia" w:ascii="Times New Roman" w:hAnsi="Times New Roman" w:eastAsia="仿宋_GB2312" w:cs="Times New Roman"/>
          <w:sz w:val="32"/>
          <w:szCs w:val="32"/>
          <w:lang w:eastAsia="zh-CN"/>
        </w:rPr>
        <w:t>确凿</w:t>
      </w:r>
      <w:r>
        <w:rPr>
          <w:rFonts w:hint="default" w:ascii="Times New Roman" w:hAnsi="Times New Roman" w:eastAsia="仿宋_GB2312" w:cs="Times New Roman"/>
          <w:sz w:val="32"/>
          <w:szCs w:val="32"/>
        </w:rPr>
        <w:t>、程序合法、适用法律准确，无行政复议和行政诉讼案件发生。</w:t>
      </w:r>
    </w:p>
    <w:p>
      <w:pPr>
        <w:keepNext w:val="0"/>
        <w:keepLines w:val="0"/>
        <w:pageBreakBefore w:val="0"/>
        <w:widowControl w:val="0"/>
        <w:kinsoku/>
        <w:wordWrap/>
        <w:overflowPunct/>
        <w:topLinePunct w:val="0"/>
        <w:autoSpaceDE/>
        <w:autoSpaceDN/>
        <w:bidi w:val="0"/>
        <w:adjustRightInd/>
        <w:snapToGrid/>
        <w:spacing w:line="580" w:lineRule="exact"/>
        <w:ind w:firstLine="643" w:firstLineChars="200"/>
        <w:textAlignment w:val="auto"/>
        <w:rPr>
          <w:rFonts w:hint="default" w:ascii="Times New Roman" w:hAnsi="Times New Roman" w:eastAsia="仿宋_GB2312" w:cs="Times New Roman"/>
          <w:sz w:val="32"/>
          <w:szCs w:val="32"/>
        </w:rPr>
      </w:pPr>
      <w:r>
        <w:rPr>
          <w:rFonts w:hint="default" w:ascii="楷体" w:hAnsi="楷体" w:eastAsia="楷体" w:cs="楷体"/>
          <w:b/>
          <w:bCs/>
          <w:sz w:val="32"/>
          <w:szCs w:val="32"/>
        </w:rPr>
        <w:t>（</w:t>
      </w:r>
      <w:r>
        <w:rPr>
          <w:rFonts w:hint="eastAsia" w:ascii="楷体" w:hAnsi="楷体" w:eastAsia="楷体" w:cs="楷体"/>
          <w:b/>
          <w:bCs/>
          <w:sz w:val="32"/>
          <w:szCs w:val="32"/>
          <w:lang w:eastAsia="zh-CN"/>
        </w:rPr>
        <w:t>二</w:t>
      </w:r>
      <w:r>
        <w:rPr>
          <w:rFonts w:hint="default" w:ascii="楷体" w:hAnsi="楷体" w:eastAsia="楷体" w:cs="楷体"/>
          <w:b/>
          <w:bCs/>
          <w:sz w:val="32"/>
          <w:szCs w:val="32"/>
        </w:rPr>
        <w:t>）推进执法规范化建设。</w:t>
      </w:r>
      <w:r>
        <w:rPr>
          <w:rFonts w:hint="default" w:ascii="Times New Roman" w:hAnsi="Times New Roman" w:eastAsia="仿宋_GB2312" w:cs="Times New Roman"/>
          <w:sz w:val="32"/>
          <w:szCs w:val="32"/>
        </w:rPr>
        <w:t>推进执法规范化建设。持续推进执法场所标准化建设，</w:t>
      </w:r>
      <w:r>
        <w:rPr>
          <w:rFonts w:hint="eastAsia" w:ascii="Times New Roman" w:hAnsi="Times New Roman" w:eastAsia="仿宋_GB2312" w:cs="Times New Roman"/>
          <w:sz w:val="32"/>
          <w:szCs w:val="32"/>
          <w:lang w:eastAsia="zh-CN"/>
        </w:rPr>
        <w:t>完善</w:t>
      </w:r>
      <w:r>
        <w:rPr>
          <w:rFonts w:hint="default" w:ascii="Times New Roman" w:hAnsi="Times New Roman" w:eastAsia="仿宋_GB2312" w:cs="Times New Roman"/>
          <w:sz w:val="32"/>
          <w:szCs w:val="32"/>
        </w:rPr>
        <w:t>执法装备配备，提升执法保障水平。全面应用行政执法“两平台”，实现执法信息实时录入，流程全程留痕、结果公开透明。组织执法人员参加业务培训6次，提升执法人员的法治素养和执法能力。</w:t>
      </w:r>
    </w:p>
    <w:p>
      <w:pPr>
        <w:keepNext w:val="0"/>
        <w:keepLines w:val="0"/>
        <w:pageBreakBefore w:val="0"/>
        <w:widowControl w:val="0"/>
        <w:kinsoku/>
        <w:wordWrap/>
        <w:overflowPunct/>
        <w:topLinePunct w:val="0"/>
        <w:autoSpaceDE/>
        <w:autoSpaceDN/>
        <w:bidi w:val="0"/>
        <w:adjustRightInd/>
        <w:snapToGrid/>
        <w:spacing w:line="580" w:lineRule="exact"/>
        <w:ind w:firstLine="643" w:firstLineChars="200"/>
        <w:textAlignment w:val="auto"/>
        <w:rPr>
          <w:rFonts w:hint="default" w:ascii="Times New Roman" w:hAnsi="Times New Roman" w:eastAsia="仿宋_GB2312" w:cs="Times New Roman"/>
          <w:sz w:val="32"/>
          <w:szCs w:val="32"/>
        </w:rPr>
      </w:pPr>
      <w:r>
        <w:rPr>
          <w:rFonts w:hint="default" w:ascii="楷体" w:hAnsi="楷体" w:eastAsia="楷体" w:cs="楷体"/>
          <w:b/>
          <w:bCs/>
          <w:sz w:val="32"/>
          <w:szCs w:val="32"/>
        </w:rPr>
        <w:t>（三）加强社区矫正工作。</w:t>
      </w:r>
      <w:r>
        <w:rPr>
          <w:rFonts w:hint="default" w:ascii="Times New Roman" w:hAnsi="Times New Roman" w:eastAsia="仿宋_GB2312" w:cs="Times New Roman"/>
          <w:sz w:val="32"/>
          <w:szCs w:val="32"/>
        </w:rPr>
        <w:t>加强社区矫正工作。健全社区矫正工作机制，严格落实《社区矫正法》，强化对矫正对象的分类管理和教育帮扶。全年在册社区矫正对象12人均无脱管、漏管、重新违法犯罪现象，社会治安持续稳定。</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四、深化普法宣传，法治意识不断增强</w:t>
      </w:r>
    </w:p>
    <w:p>
      <w:pPr>
        <w:keepNext w:val="0"/>
        <w:keepLines w:val="0"/>
        <w:pageBreakBefore w:val="0"/>
        <w:widowControl w:val="0"/>
        <w:kinsoku/>
        <w:wordWrap/>
        <w:overflowPunct/>
        <w:topLinePunct w:val="0"/>
        <w:autoSpaceDE/>
        <w:autoSpaceDN/>
        <w:bidi w:val="0"/>
        <w:adjustRightInd/>
        <w:snapToGrid/>
        <w:spacing w:line="580" w:lineRule="exact"/>
        <w:ind w:firstLine="643" w:firstLineChars="200"/>
        <w:textAlignment w:val="auto"/>
        <w:rPr>
          <w:rFonts w:hint="default" w:ascii="Times New Roman" w:hAnsi="Times New Roman" w:eastAsia="仿宋_GB2312" w:cs="Times New Roman"/>
          <w:sz w:val="32"/>
          <w:szCs w:val="32"/>
        </w:rPr>
      </w:pPr>
      <w:r>
        <w:rPr>
          <w:rFonts w:hint="default" w:ascii="楷体" w:hAnsi="楷体" w:eastAsia="楷体" w:cs="楷体"/>
          <w:b/>
          <w:bCs/>
          <w:sz w:val="32"/>
          <w:szCs w:val="32"/>
        </w:rPr>
        <w:t>（一）壮大“法律明白人”队伍。</w:t>
      </w:r>
      <w:r>
        <w:rPr>
          <w:rFonts w:hint="default" w:ascii="Times New Roman" w:hAnsi="Times New Roman" w:eastAsia="仿宋_GB2312" w:cs="Times New Roman"/>
          <w:sz w:val="32"/>
          <w:szCs w:val="32"/>
        </w:rPr>
        <w:t>推选培养“法律明白人”“法治带头人”队伍，组织其深入村组开展法治宣讲</w:t>
      </w:r>
      <w:r>
        <w:rPr>
          <w:rFonts w:hint="eastAsia" w:ascii="Times New Roman" w:hAnsi="Times New Roman" w:eastAsia="仿宋_GB2312" w:cs="Times New Roman"/>
          <w:sz w:val="32"/>
          <w:szCs w:val="32"/>
          <w:lang w:val="en-US" w:eastAsia="zh-CN"/>
        </w:rPr>
        <w:t>36</w:t>
      </w:r>
      <w:r>
        <w:rPr>
          <w:rFonts w:hint="default" w:ascii="Times New Roman" w:hAnsi="Times New Roman" w:eastAsia="仿宋_GB2312" w:cs="Times New Roman"/>
          <w:sz w:val="32"/>
          <w:szCs w:val="32"/>
        </w:rPr>
        <w:t>场，覆盖群众1500余人次，提升其法律素养和群众工作能力，发挥其在基层治理中的示范带动作用。</w:t>
      </w:r>
    </w:p>
    <w:p>
      <w:pPr>
        <w:keepNext w:val="0"/>
        <w:keepLines w:val="0"/>
        <w:pageBreakBefore w:val="0"/>
        <w:widowControl w:val="0"/>
        <w:kinsoku/>
        <w:wordWrap/>
        <w:overflowPunct/>
        <w:topLinePunct w:val="0"/>
        <w:autoSpaceDE/>
        <w:autoSpaceDN/>
        <w:bidi w:val="0"/>
        <w:adjustRightInd/>
        <w:snapToGrid/>
        <w:spacing w:line="580" w:lineRule="exact"/>
        <w:ind w:firstLine="643" w:firstLineChars="200"/>
        <w:textAlignment w:val="auto"/>
        <w:rPr>
          <w:rFonts w:hint="default" w:ascii="Times New Roman" w:hAnsi="Times New Roman" w:eastAsia="仿宋_GB2312" w:cs="Times New Roman"/>
          <w:sz w:val="32"/>
          <w:szCs w:val="32"/>
        </w:rPr>
      </w:pPr>
      <w:r>
        <w:rPr>
          <w:rFonts w:hint="default" w:ascii="楷体" w:hAnsi="楷体" w:eastAsia="楷体" w:cs="楷体"/>
          <w:b/>
          <w:bCs/>
          <w:sz w:val="32"/>
          <w:szCs w:val="32"/>
        </w:rPr>
        <w:t>（二）推进民主法治示范创建。</w:t>
      </w:r>
      <w:r>
        <w:rPr>
          <w:rFonts w:hint="eastAsia" w:ascii="Times New Roman" w:hAnsi="Times New Roman" w:eastAsia="仿宋_GB2312" w:cs="Times New Roman"/>
          <w:sz w:val="32"/>
          <w:szCs w:val="32"/>
          <w:lang w:eastAsia="zh-CN"/>
        </w:rPr>
        <w:t>持续</w:t>
      </w:r>
      <w:r>
        <w:rPr>
          <w:rFonts w:hint="default" w:ascii="Times New Roman" w:hAnsi="Times New Roman" w:eastAsia="仿宋_GB2312" w:cs="Times New Roman"/>
          <w:sz w:val="32"/>
          <w:szCs w:val="32"/>
        </w:rPr>
        <w:t>巩固民主法治示范村创建成果，指导各村完善村规民约，推动依法治理与村民自治深度融合。将法治建设工作纳入村“两委”班子年度考核体系，年底组织开展法治建设专项考核，对法治建设工作推进有力、成效显著的3个村予以表彰，对工作落实不力的2个村进行约谈提醒。</w:t>
      </w:r>
    </w:p>
    <w:p>
      <w:pPr>
        <w:keepNext w:val="0"/>
        <w:keepLines w:val="0"/>
        <w:pageBreakBefore w:val="0"/>
        <w:widowControl w:val="0"/>
        <w:kinsoku/>
        <w:wordWrap/>
        <w:overflowPunct/>
        <w:topLinePunct w:val="0"/>
        <w:autoSpaceDE/>
        <w:autoSpaceDN/>
        <w:bidi w:val="0"/>
        <w:adjustRightInd/>
        <w:snapToGrid/>
        <w:spacing w:line="580" w:lineRule="exact"/>
        <w:ind w:firstLine="643" w:firstLineChars="200"/>
        <w:textAlignment w:val="auto"/>
        <w:rPr>
          <w:rFonts w:hint="default" w:ascii="Times New Roman" w:hAnsi="Times New Roman" w:eastAsia="仿宋_GB2312" w:cs="Times New Roman"/>
          <w:sz w:val="32"/>
          <w:szCs w:val="32"/>
        </w:rPr>
      </w:pPr>
      <w:r>
        <w:rPr>
          <w:rFonts w:hint="default" w:ascii="楷体" w:hAnsi="楷体" w:eastAsia="楷体" w:cs="楷体"/>
          <w:b/>
          <w:bCs/>
          <w:sz w:val="32"/>
          <w:szCs w:val="32"/>
        </w:rPr>
        <w:t>（三）落实普法责任制。</w:t>
      </w:r>
      <w:r>
        <w:rPr>
          <w:rFonts w:hint="default" w:ascii="Times New Roman" w:hAnsi="Times New Roman" w:eastAsia="仿宋_GB2312" w:cs="Times New Roman"/>
          <w:sz w:val="32"/>
          <w:szCs w:val="32"/>
        </w:rPr>
        <w:t>落实普法责任制。制定《狮子坪乡2025年度普法工作计划》，围绕宪法、民法典、反诈、禁毒等主题，开展“谁执法谁普法”“谁服务谁普法”活动24次，利用赶集日、节假日开展“法治赶大集”活动6次，发放法治宣传手册、围裙、折扇等宣传资料3000余份。在各村设立法治宣传栏12个，更新宣传内容4次，借助微信公众号、村民微信群、村村通广播等载体推送法治知识120余条，扩大普法覆盖面。针对青少年、老年人、外出务工人员等重点群体开展精准普法，组织法治副校长到乡中心学校开展法治讲座4次，为全乡60岁以上老年人开展防范电信诈骗、养老诈骗法治宣传8次，为外出务工人员提供劳动合同签订、权益保障等法律服务12次，提升群众法治获得感。</w:t>
      </w:r>
    </w:p>
    <w:p>
      <w:pPr>
        <w:keepNext w:val="0"/>
        <w:keepLines w:val="0"/>
        <w:pageBreakBefore w:val="0"/>
        <w:widowControl w:val="0"/>
        <w:kinsoku/>
        <w:wordWrap/>
        <w:overflowPunct/>
        <w:topLinePunct w:val="0"/>
        <w:autoSpaceDE/>
        <w:autoSpaceDN/>
        <w:bidi w:val="0"/>
        <w:adjustRightInd/>
        <w:snapToGrid/>
        <w:spacing w:line="580" w:lineRule="exact"/>
        <w:textAlignment w:val="auto"/>
        <w:rPr>
          <w:rFonts w:hint="default" w:ascii="Times New Roman" w:hAnsi="Times New Roman" w:eastAsia="仿宋_GB2312" w:cs="Times New Roman"/>
          <w:sz w:val="32"/>
          <w:szCs w:val="32"/>
        </w:rPr>
      </w:pPr>
    </w:p>
    <w:p>
      <w:pPr>
        <w:keepNext w:val="0"/>
        <w:keepLines w:val="0"/>
        <w:pageBreakBefore w:val="0"/>
        <w:widowControl w:val="0"/>
        <w:kinsoku/>
        <w:wordWrap/>
        <w:overflowPunct/>
        <w:topLinePunct w:val="0"/>
        <w:autoSpaceDE/>
        <w:autoSpaceDN/>
        <w:bidi w:val="0"/>
        <w:adjustRightInd/>
        <w:snapToGrid/>
        <w:spacing w:line="580" w:lineRule="exact"/>
        <w:textAlignment w:val="auto"/>
        <w:rPr>
          <w:rFonts w:hint="default" w:ascii="Times New Roman" w:hAnsi="Times New Roman" w:eastAsia="仿宋_GB2312" w:cs="Times New Roman"/>
          <w:sz w:val="32"/>
          <w:szCs w:val="32"/>
        </w:rPr>
      </w:pPr>
    </w:p>
    <w:p>
      <w:pPr>
        <w:keepNext w:val="0"/>
        <w:keepLines w:val="0"/>
        <w:pageBreakBefore w:val="0"/>
        <w:widowControl w:val="0"/>
        <w:kinsoku/>
        <w:wordWrap/>
        <w:overflowPunct/>
        <w:topLinePunct w:val="0"/>
        <w:autoSpaceDE/>
        <w:autoSpaceDN/>
        <w:bidi w:val="0"/>
        <w:adjustRightInd/>
        <w:snapToGrid/>
        <w:spacing w:line="580" w:lineRule="exact"/>
        <w:ind w:firstLine="4800" w:firstLineChars="1500"/>
        <w:textAlignment w:val="auto"/>
        <w:rPr>
          <w:rFonts w:hint="eastAsia" w:ascii="Times New Roman" w:hAnsi="Times New Roman" w:eastAsia="仿宋_GB2312" w:cs="Times New Roman"/>
          <w:sz w:val="32"/>
          <w:szCs w:val="32"/>
          <w:lang w:eastAsia="zh-CN"/>
        </w:rPr>
      </w:pPr>
      <w:r>
        <w:rPr>
          <w:rFonts w:hint="eastAsia" w:ascii="Times New Roman" w:hAnsi="Times New Roman" w:eastAsia="仿宋_GB2312" w:cs="Times New Roman"/>
          <w:sz w:val="32"/>
          <w:szCs w:val="32"/>
          <w:lang w:eastAsia="zh-CN"/>
        </w:rPr>
        <w:t>狮子坪乡人民政府</w:t>
      </w:r>
    </w:p>
    <w:p>
      <w:pPr>
        <w:keepNext w:val="0"/>
        <w:keepLines w:val="0"/>
        <w:pageBreakBefore w:val="0"/>
        <w:widowControl w:val="0"/>
        <w:kinsoku/>
        <w:wordWrap/>
        <w:overflowPunct/>
        <w:topLinePunct w:val="0"/>
        <w:autoSpaceDE/>
        <w:autoSpaceDN/>
        <w:bidi w:val="0"/>
        <w:adjustRightInd/>
        <w:snapToGrid/>
        <w:spacing w:line="580" w:lineRule="exact"/>
        <w:ind w:firstLine="4800" w:firstLineChars="1500"/>
        <w:textAlignment w:val="auto"/>
        <w:rPr>
          <w:rFonts w:hint="default" w:ascii="Times New Roman" w:hAnsi="Times New Roman" w:eastAsia="仿宋_GB2312" w:cs="Times New Roman"/>
          <w:sz w:val="32"/>
          <w:szCs w:val="32"/>
          <w:lang w:val="en-US" w:eastAsia="zh-CN"/>
        </w:rPr>
      </w:pPr>
      <w:bookmarkStart w:id="0" w:name="_GoBack"/>
      <w:bookmarkEnd w:id="0"/>
      <w:r>
        <w:rPr>
          <w:rFonts w:hint="eastAsia" w:ascii="Times New Roman" w:hAnsi="Times New Roman" w:eastAsia="仿宋_GB2312" w:cs="Times New Roman"/>
          <w:sz w:val="32"/>
          <w:szCs w:val="32"/>
          <w:lang w:val="en-US" w:eastAsia="zh-CN"/>
        </w:rPr>
        <w:t>2026年3月5日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C6186E49-E8C3-4EAA-A548-7426A1C9CB57}"/>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auto"/>
    <w:pitch w:val="default"/>
    <w:sig w:usb0="00000001" w:usb1="080E0000" w:usb2="00000000" w:usb3="00000000" w:csb0="00040000" w:csb1="00000000"/>
    <w:embedRegular r:id="rId2" w:fontKey="{3C7381B3-A168-4486-B727-CEFAA800946A}"/>
  </w:font>
  <w:font w:name="方正小标宋简体">
    <w:panose1 w:val="02000000000000000000"/>
    <w:charset w:val="86"/>
    <w:family w:val="auto"/>
    <w:pitch w:val="default"/>
    <w:sig w:usb0="00000001" w:usb1="080E0000" w:usb2="00000000" w:usb3="00000000" w:csb0="00040000" w:csb1="00000000"/>
    <w:embedRegular r:id="rId3" w:fontKey="{795DE7D2-CABB-4916-9994-5DEF0846177E}"/>
  </w:font>
  <w:font w:name="楷体">
    <w:panose1 w:val="02010609060101010101"/>
    <w:charset w:val="86"/>
    <w:family w:val="auto"/>
    <w:pitch w:val="default"/>
    <w:sig w:usb0="800002BF" w:usb1="38CF7CFA" w:usb2="00000016" w:usb3="00000000" w:csb0="00040001" w:csb1="00000000"/>
    <w:embedRegular r:id="rId4" w:fontKey="{36DD9DF8-FEC3-471F-9196-BDCE2945335F}"/>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Q3YjBjYjZmMjJhNTA4ZjI3MmI5Y2ZhN2ExZDJlMzMifQ=="/>
  </w:docVars>
  <w:rsids>
    <w:rsidRoot w:val="00000000"/>
    <w:rsid w:val="7DA70C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14</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2026-03-18T01:34:05Z</dcterms:created>
  <dc:creator>Administrator</dc:creator>
  <cp:lastModifiedBy>Sunshine</cp:lastModifiedBy>
  <dcterms:modified xsi:type="dcterms:W3CDTF">2026-03-18T01:48:19Z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41B6C58818C84FBDA7AB22BF1380319E_12</vt:lpwstr>
  </property>
</Properties>
</file>