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4E0BC">
      <w:pPr>
        <w:bidi w:val="0"/>
        <w:jc w:val="left"/>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lang w:val="en-US" w:eastAsia="zh-CN"/>
        </w:rPr>
        <w:t>附件6：</w:t>
      </w:r>
    </w:p>
    <w:p w14:paraId="5C0DBB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卢氏县东明镇东明社区2026年</w:t>
      </w:r>
    </w:p>
    <w:p w14:paraId="524DBD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基础设施建设以工代赈项目</w:t>
      </w:r>
    </w:p>
    <w:p w14:paraId="31EBE245">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技术服务评分办法</w:t>
      </w:r>
    </w:p>
    <w:p w14:paraId="558F1FD7">
      <w:pPr>
        <w:keepNext w:val="0"/>
        <w:keepLines w:val="0"/>
        <w:pageBreakBefore w:val="0"/>
        <w:widowControl w:val="0"/>
        <w:kinsoku/>
        <w:wordWrap/>
        <w:overflowPunct/>
        <w:topLinePunct/>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lang w:eastAsia="zh-CN"/>
        </w:rPr>
      </w:pPr>
    </w:p>
    <w:p w14:paraId="14F3DAC8">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sz w:val="32"/>
          <w:szCs w:val="32"/>
          <w:lang w:eastAsia="zh-CN"/>
        </w:rPr>
        <w:t>为确保</w:t>
      </w:r>
      <w:r>
        <w:rPr>
          <w:rFonts w:hint="default" w:ascii="Times New Roman" w:hAnsi="Times New Roman" w:eastAsia="仿宋_GB2312" w:cs="Times New Roman"/>
          <w:sz w:val="32"/>
          <w:szCs w:val="32"/>
          <w:lang w:val="en-US" w:eastAsia="zh-CN"/>
        </w:rPr>
        <w:t>卢氏县东明镇东明社区2026年基础设施建设以工代赈项目</w:t>
      </w:r>
      <w:r>
        <w:rPr>
          <w:rFonts w:hint="default" w:ascii="Times New Roman" w:hAnsi="Times New Roman" w:eastAsia="仿宋_GB2312" w:cs="Times New Roman"/>
          <w:sz w:val="32"/>
          <w:szCs w:val="32"/>
          <w:lang w:eastAsia="zh-CN"/>
        </w:rPr>
        <w:t>资金节约、公开透明、</w:t>
      </w:r>
      <w:r>
        <w:rPr>
          <w:rFonts w:hint="default" w:ascii="Times New Roman" w:hAnsi="Times New Roman" w:eastAsia="仿宋_GB2312" w:cs="Times New Roman"/>
          <w:sz w:val="32"/>
          <w:szCs w:val="32"/>
          <w:lang w:val="en-US" w:eastAsia="zh-CN"/>
        </w:rPr>
        <w:t>居</w:t>
      </w:r>
      <w:r>
        <w:rPr>
          <w:rFonts w:hint="default" w:ascii="Times New Roman" w:hAnsi="Times New Roman" w:eastAsia="仿宋_GB2312" w:cs="Times New Roman"/>
          <w:sz w:val="32"/>
          <w:szCs w:val="32"/>
          <w:lang w:eastAsia="zh-CN"/>
        </w:rPr>
        <w:t>民利益最大化，</w:t>
      </w:r>
      <w:r>
        <w:rPr>
          <w:rFonts w:hint="default" w:ascii="Times New Roman" w:hAnsi="Times New Roman" w:eastAsia="仿宋_GB2312" w:cs="Times New Roman"/>
          <w:b w:val="0"/>
          <w:bCs w:val="0"/>
          <w:color w:val="000000"/>
          <w:kern w:val="0"/>
          <w:sz w:val="32"/>
          <w:szCs w:val="32"/>
          <w:lang w:val="en-US" w:eastAsia="zh-CN" w:bidi="ar"/>
        </w:rPr>
        <w:t>依据</w:t>
      </w:r>
      <w:r>
        <w:rPr>
          <w:rFonts w:hint="default" w:ascii="Times New Roman" w:hAnsi="Times New Roman" w:eastAsia="仿宋_GB2312" w:cs="Times New Roman"/>
          <w:b w:val="0"/>
          <w:bCs w:val="0"/>
          <w:kern w:val="2"/>
          <w:sz w:val="32"/>
          <w:szCs w:val="32"/>
          <w:lang w:val="en-US" w:eastAsia="zh-CN" w:bidi="ar-SA"/>
        </w:rPr>
        <w:t>《河南省以工代赈项目创新承接方式和劳务组织模式工作指南（试行）》，</w:t>
      </w:r>
      <w:r>
        <w:rPr>
          <w:rFonts w:hint="default" w:ascii="Times New Roman" w:hAnsi="Times New Roman" w:eastAsia="仿宋_GB2312" w:cs="Times New Roman"/>
          <w:b w:val="0"/>
          <w:bCs w:val="0"/>
          <w:color w:val="000000"/>
          <w:kern w:val="0"/>
          <w:sz w:val="32"/>
          <w:szCs w:val="32"/>
          <w:lang w:val="en-US" w:eastAsia="zh-CN" w:bidi="ar"/>
        </w:rPr>
        <w:t>特制定本办法：</w:t>
      </w:r>
    </w:p>
    <w:p w14:paraId="1CBF1671">
      <w:pPr>
        <w:keepNext w:val="0"/>
        <w:keepLines w:val="0"/>
        <w:pageBreakBefore w:val="0"/>
        <w:widowControl w:val="0"/>
        <w:numPr>
          <w:ilvl w:val="0"/>
          <w:numId w:val="0"/>
        </w:numPr>
        <w:suppressLineNumbers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val="en-US" w:eastAsia="zh-CN" w:bidi="ar"/>
        </w:rPr>
        <w:t>一、资格预审</w:t>
      </w:r>
      <w:r>
        <w:rPr>
          <w:rFonts w:hint="default" w:ascii="Times New Roman" w:hAnsi="Times New Roman" w:eastAsia="黑体" w:cs="Times New Roman"/>
          <w:b/>
          <w:bCs/>
          <w:color w:val="000000"/>
          <w:kern w:val="0"/>
          <w:sz w:val="32"/>
          <w:szCs w:val="32"/>
          <w:lang w:val="en-US" w:eastAsia="zh-CN" w:bidi="ar"/>
        </w:rPr>
        <w:t xml:space="preserve"> </w:t>
      </w:r>
    </w:p>
    <w:p w14:paraId="7C8E72E3">
      <w:pPr>
        <w:keepNext w:val="0"/>
        <w:keepLines w:val="0"/>
        <w:pageBreakBefore w:val="0"/>
        <w:widowControl w:val="0"/>
        <w:numPr>
          <w:ilvl w:val="0"/>
          <w:numId w:val="0"/>
        </w:numPr>
        <w:suppressLineNumbers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有下列情形之一的，取消参评资格：</w:t>
      </w:r>
    </w:p>
    <w:p w14:paraId="2F07DBB5">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1.技术员不具备中级（含中级）以上职称或不具备5年以上市政工程施工经历的；</w:t>
      </w:r>
    </w:p>
    <w:p w14:paraId="50AC3A0C">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2.监理单位不具备乙级及以上的市政监理资质或不能保证至少一名监理工程师常驻工地的；</w:t>
      </w:r>
    </w:p>
    <w:p w14:paraId="60CBB728">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3.监理费报价高于工程造价1个百分点的。</w:t>
      </w:r>
    </w:p>
    <w:p w14:paraId="51348399">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4.跟踪结算审核报价高于工程造价1个百分点的。</w:t>
      </w:r>
    </w:p>
    <w:p w14:paraId="4A10B49B">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5.跟踪结算审核单位造价师小于3人的。</w:t>
      </w:r>
    </w:p>
    <w:p w14:paraId="6C3DBD97">
      <w:pPr>
        <w:keepNext w:val="0"/>
        <w:keepLines w:val="0"/>
        <w:pageBreakBefore w:val="0"/>
        <w:widowControl w:val="0"/>
        <w:numPr>
          <w:ilvl w:val="0"/>
          <w:numId w:val="0"/>
        </w:numPr>
        <w:suppressLineNumbers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val="en-US" w:eastAsia="zh-CN" w:bidi="ar"/>
        </w:rPr>
        <w:t>二、百分评定</w:t>
      </w:r>
    </w:p>
    <w:p w14:paraId="5963DD6B">
      <w:pPr>
        <w:keepNext w:val="0"/>
        <w:keepLines w:val="0"/>
        <w:pageBreakBefore w:val="0"/>
        <w:widowControl w:val="0"/>
        <w:numPr>
          <w:ilvl w:val="0"/>
          <w:numId w:val="0"/>
        </w:numPr>
        <w:suppressLineNumbers w:val="0"/>
        <w:kinsoku/>
        <w:wordWrap/>
        <w:overflowPunct/>
        <w:topLinePunct/>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（一）报价部分（60分）</w:t>
      </w:r>
      <w:r>
        <w:rPr>
          <w:rFonts w:hint="default" w:ascii="Times New Roman" w:hAnsi="Times New Roman" w:eastAsia="仿宋_GB2312" w:cs="Times New Roman"/>
          <w:b w:val="0"/>
          <w:bCs w:val="0"/>
          <w:color w:val="000000"/>
          <w:kern w:val="0"/>
          <w:sz w:val="32"/>
          <w:szCs w:val="32"/>
          <w:lang w:val="en-US" w:eastAsia="zh-CN" w:bidi="ar"/>
        </w:rPr>
        <w:t>。技术员月工资报价比1万元每低100元得3分，最高得60分；监理单位监理费报价每比工程造价1%低0.01点得3分，最高得60分；跟踪结算审核单位报价每比工程造价1%低0.01点得3分，最高得60分。</w:t>
      </w:r>
    </w:p>
    <w:p w14:paraId="77CDAE8B">
      <w:pPr>
        <w:keepNext w:val="0"/>
        <w:keepLines w:val="0"/>
        <w:pageBreakBefore w:val="0"/>
        <w:widowControl w:val="0"/>
        <w:numPr>
          <w:ilvl w:val="0"/>
          <w:numId w:val="0"/>
        </w:numPr>
        <w:suppressLineNumbers w:val="0"/>
        <w:kinsoku/>
        <w:wordWrap/>
        <w:overflowPunct/>
        <w:topLinePunct/>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（二）资质部分（40分）</w:t>
      </w:r>
      <w:r>
        <w:rPr>
          <w:rFonts w:hint="default" w:ascii="Times New Roman" w:hAnsi="Times New Roman" w:eastAsia="仿宋_GB2312" w:cs="Times New Roman"/>
          <w:b w:val="0"/>
          <w:bCs w:val="0"/>
          <w:color w:val="000000"/>
          <w:kern w:val="0"/>
          <w:sz w:val="32"/>
          <w:szCs w:val="32"/>
          <w:lang w:val="en-US" w:eastAsia="zh-CN" w:bidi="ar"/>
        </w:rPr>
        <w:t>。</w:t>
      </w:r>
    </w:p>
    <w:p w14:paraId="009B7E53">
      <w:pPr>
        <w:keepNext w:val="0"/>
        <w:keepLines w:val="0"/>
        <w:pageBreakBefore w:val="0"/>
        <w:widowControl w:val="0"/>
        <w:numPr>
          <w:ilvl w:val="0"/>
          <w:numId w:val="0"/>
        </w:numPr>
        <w:suppressLineNumbers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1.技术员具备中级职称的得15分，具备高级职称的得20分，具备5年市政工程施工经历的得10分，每多一年加1分，最多加10分。</w:t>
      </w:r>
    </w:p>
    <w:p w14:paraId="51C7E0FB">
      <w:pPr>
        <w:keepNext w:val="0"/>
        <w:keepLines w:val="0"/>
        <w:pageBreakBefore w:val="0"/>
        <w:widowControl w:val="0"/>
        <w:numPr>
          <w:ilvl w:val="0"/>
          <w:numId w:val="0"/>
        </w:numPr>
        <w:suppressLineNumbers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2.监理单位具备乙级及以上的市政工程监理资质的得20分，具备甲级及以上监理资质的得25分，常驻监理工程师1名的得10分，常驻监理工程师2名的得15分。</w:t>
      </w:r>
    </w:p>
    <w:p w14:paraId="5E8AB2B6">
      <w:pPr>
        <w:keepNext w:val="0"/>
        <w:keepLines w:val="0"/>
        <w:pageBreakBefore w:val="0"/>
        <w:widowControl w:val="0"/>
        <w:numPr>
          <w:ilvl w:val="0"/>
          <w:numId w:val="0"/>
        </w:numPr>
        <w:suppressLineNumbers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3</w:t>
      </w:r>
      <w:r>
        <w:rPr>
          <w:rFonts w:hint="eastAsia" w:ascii="Times New Roman" w:hAnsi="Times New Roman"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跟踪结算审核单位具备二级造价师3名及以上的得30分，具备一级造价师3名及以上的得40分。</w:t>
      </w:r>
    </w:p>
    <w:p w14:paraId="11B1EB71">
      <w:pPr>
        <w:keepNext w:val="0"/>
        <w:keepLines w:val="0"/>
        <w:pageBreakBefore w:val="0"/>
        <w:widowControl w:val="0"/>
        <w:numPr>
          <w:ilvl w:val="0"/>
          <w:numId w:val="0"/>
        </w:numPr>
        <w:suppressLineNumbers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val="en-US" w:eastAsia="zh-CN" w:bidi="ar"/>
        </w:rPr>
        <w:t>三、结果运用</w:t>
      </w:r>
    </w:p>
    <w:p w14:paraId="0BD7AB04">
      <w:pPr>
        <w:keepNext w:val="0"/>
        <w:keepLines w:val="0"/>
        <w:pageBreakBefore w:val="0"/>
        <w:widowControl w:val="0"/>
        <w:numPr>
          <w:ilvl w:val="0"/>
          <w:numId w:val="0"/>
        </w:numPr>
        <w:suppressLineNumbers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按得分从高到低确定中标人，并签订服务协议。</w:t>
      </w:r>
    </w:p>
    <w:p w14:paraId="4C1C29B8">
      <w:pPr>
        <w:keepNext w:val="0"/>
        <w:keepLines w:val="0"/>
        <w:pageBreakBefore w:val="0"/>
        <w:widowControl w:val="0"/>
        <w:numPr>
          <w:ilvl w:val="0"/>
          <w:numId w:val="0"/>
        </w:numPr>
        <w:suppressLineNumbers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val="en-US" w:eastAsia="zh-CN" w:bidi="ar"/>
        </w:rPr>
        <w:t>四、特别声明</w:t>
      </w:r>
    </w:p>
    <w:p w14:paraId="0941A8E4">
      <w:pPr>
        <w:keepNext w:val="0"/>
        <w:keepLines w:val="0"/>
        <w:pageBreakBefore w:val="0"/>
        <w:widowControl w:val="0"/>
        <w:numPr>
          <w:ilvl w:val="0"/>
          <w:numId w:val="0"/>
        </w:numPr>
        <w:suppressLineNumbers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技术员、监理、跟踪结算审核单位面向社会选聘。</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D4F72A-368A-4B89-ACA1-0451ACF1AD1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7D3256B5-E7FB-4DBE-ADDA-4E6F9B0A8537}"/>
  </w:font>
  <w:font w:name="方正小标宋简体">
    <w:panose1 w:val="02000000000000000000"/>
    <w:charset w:val="86"/>
    <w:family w:val="auto"/>
    <w:pitch w:val="default"/>
    <w:sig w:usb0="00000001" w:usb1="080E0000" w:usb2="00000000" w:usb3="00000000" w:csb0="00040000" w:csb1="00000000"/>
    <w:embedRegular r:id="rId3" w:fontKey="{F9A1116B-5756-456B-9997-B7437B9AE8A5}"/>
  </w:font>
  <w:font w:name="仿宋_GB2312">
    <w:panose1 w:val="02010609030101010101"/>
    <w:charset w:val="86"/>
    <w:family w:val="auto"/>
    <w:pitch w:val="default"/>
    <w:sig w:usb0="00000001" w:usb1="080E0000" w:usb2="00000000" w:usb3="00000000" w:csb0="00040000" w:csb1="00000000"/>
    <w:embedRegular r:id="rId4" w:fontKey="{9A81A712-1EBB-44D1-B194-5419A05CA0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A3A1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AE592">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FAE592">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92439"/>
    <w:rsid w:val="0A471DA0"/>
    <w:rsid w:val="14C37100"/>
    <w:rsid w:val="17424826"/>
    <w:rsid w:val="189121B2"/>
    <w:rsid w:val="19B27C06"/>
    <w:rsid w:val="1A201E96"/>
    <w:rsid w:val="1C3D27EE"/>
    <w:rsid w:val="1F272F20"/>
    <w:rsid w:val="2C275941"/>
    <w:rsid w:val="3CDC62D4"/>
    <w:rsid w:val="48894BB5"/>
    <w:rsid w:val="4AE64EED"/>
    <w:rsid w:val="4AE759AA"/>
    <w:rsid w:val="4B3D1C65"/>
    <w:rsid w:val="51DA2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rPr>
      <w:rFonts w:ascii="宋体" w:hAnsi="宋体" w:eastAsia="宋体" w:cs="宋体"/>
      <w:sz w:val="21"/>
      <w:szCs w:val="21"/>
      <w:lang w:val="en-US" w:eastAsia="zh-CN" w:bidi="ar-SA"/>
    </w:rPr>
  </w:style>
  <w:style w:type="paragraph" w:styleId="4">
    <w:name w:val="Body Text 2"/>
    <w:basedOn w:val="1"/>
    <w:next w:val="5"/>
    <w:qFormat/>
    <w:uiPriority w:val="0"/>
    <w:pPr>
      <w:spacing w:after="120" w:afterAutospacing="0" w:line="480" w:lineRule="auto"/>
    </w:pPr>
  </w:style>
  <w:style w:type="paragraph" w:styleId="5">
    <w:name w:val="Plain Text"/>
    <w:basedOn w:val="1"/>
    <w:qFormat/>
    <w:uiPriority w:val="0"/>
    <w:pPr>
      <w:widowControl w:val="0"/>
      <w:autoSpaceDE/>
      <w:autoSpaceDN/>
      <w:spacing w:before="0" w:after="0" w:line="240" w:lineRule="auto"/>
      <w:ind w:left="0" w:firstLine="0"/>
      <w:jc w:val="both"/>
    </w:pPr>
    <w:rPr>
      <w:rFonts w:ascii="Courier New" w:eastAsia="宋体"/>
      <w:sz w:val="21"/>
    </w:rPr>
  </w:style>
  <w:style w:type="paragraph" w:styleId="6">
    <w:name w:val="footer"/>
    <w:basedOn w:val="1"/>
    <w:qFormat/>
    <w:uiPriority w:val="0"/>
    <w:pPr>
      <w:tabs>
        <w:tab w:val="center" w:pos="4153"/>
        <w:tab w:val="right" w:pos="8306"/>
      </w:tabs>
      <w:snapToGrid w:val="0"/>
      <w:jc w:val="left"/>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621</Words>
  <Characters>659</Characters>
  <Lines>0</Lines>
  <Paragraphs>0</Paragraphs>
  <TotalTime>4</TotalTime>
  <ScaleCrop>false</ScaleCrop>
  <LinksUpToDate>false</LinksUpToDate>
  <CharactersWithSpaces>660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2026-03-26T04:53:00Z</dcterms:created>
  <dc:creator>ASUS</dc:creator>
  <cp:lastModifiedBy>沙河经济办</cp:lastModifiedBy>
  <dcterms:modified xsi:type="dcterms:W3CDTF">2026-05-18T03:02:51Z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eyJoZGlkIjoiMDg2M2NhMjdlMjYwODQwNTcyYTM5NGM3OTk5N2RjMzIiLCJ1c2VySWQiOiIzMTg4NzU0ODkifQ==</vt:lpwstr>
  </property>
  <property fmtid="{D5CDD505-2E9C-101B-9397-08002B2CF9AE}" pid="4" name="ICV">
    <vt:lpwstr>BF73A07EF2224FC8A936E24A299B1086_13</vt:lpwstr>
  </property>
</Properties>
</file>