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3BCD35">
      <w:pPr>
        <w:pStyle w:val="3"/>
        <w:bidi w:val="0"/>
        <w:ind w:firstLine="280" w:firstLineChars="100"/>
        <w:rPr>
          <w:rFonts w:hint="eastAsia" w:ascii="黑体" w:hAnsi="黑体" w:eastAsia="黑体" w:cs="黑体"/>
          <w:sz w:val="28"/>
          <w:szCs w:val="28"/>
          <w:lang w:val="en-US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附件:</w:t>
      </w:r>
    </w:p>
    <w:p w14:paraId="0E7FEFF2">
      <w:pPr>
        <w:jc w:val="center"/>
        <w:rPr>
          <w:rFonts w:hint="eastAsia" w:ascii="黑体" w:hAnsi="黑体" w:eastAsia="黑体" w:cs="黑体"/>
          <w:b/>
          <w:bCs/>
          <w:sz w:val="44"/>
          <w:szCs w:val="44"/>
        </w:rPr>
      </w:pPr>
      <w:r>
        <w:rPr>
          <w:rFonts w:hint="eastAsia" w:ascii="黑体" w:hAnsi="黑体" w:eastAsia="黑体" w:cs="黑体"/>
          <w:b/>
          <w:bCs/>
          <w:spacing w:val="5"/>
          <w:sz w:val="44"/>
          <w:szCs w:val="44"/>
          <w:lang w:val="en-US" w:eastAsia="zh-CN"/>
        </w:rPr>
        <w:t>卢氏</w:t>
      </w:r>
      <w:r>
        <w:rPr>
          <w:rFonts w:hint="eastAsia" w:ascii="黑体" w:hAnsi="黑体" w:eastAsia="黑体" w:cs="黑体"/>
          <w:b/>
          <w:bCs/>
          <w:spacing w:val="5"/>
          <w:sz w:val="44"/>
          <w:szCs w:val="44"/>
          <w:lang w:eastAsia="zh-CN"/>
        </w:rPr>
        <w:t>县</w:t>
      </w:r>
      <w:r>
        <w:rPr>
          <w:rFonts w:hint="eastAsia" w:ascii="黑体" w:hAnsi="黑体" w:eastAsia="黑体" w:cs="黑体"/>
          <w:b/>
          <w:bCs/>
          <w:spacing w:val="5"/>
          <w:sz w:val="44"/>
          <w:szCs w:val="44"/>
        </w:rPr>
        <w:t>2025年</w:t>
      </w:r>
      <w:r>
        <w:rPr>
          <w:rFonts w:hint="eastAsia" w:ascii="黑体" w:hAnsi="黑体" w:eastAsia="黑体" w:cs="黑体"/>
          <w:b/>
          <w:bCs/>
          <w:spacing w:val="5"/>
          <w:sz w:val="44"/>
          <w:szCs w:val="44"/>
          <w:lang w:val="en-US" w:eastAsia="zh-CN"/>
        </w:rPr>
        <w:t>度第三批县域商业体</w:t>
      </w:r>
      <w:r>
        <w:rPr>
          <w:rFonts w:hint="eastAsia" w:ascii="黑体" w:hAnsi="黑体" w:eastAsia="黑体" w:cs="黑体"/>
          <w:b/>
          <w:bCs/>
          <w:sz w:val="44"/>
          <w:szCs w:val="44"/>
        </w:rPr>
        <w:t>系建设拟申报审核项目清单</w:t>
      </w:r>
    </w:p>
    <w:p w14:paraId="2AB380D1">
      <w:pPr>
        <w:spacing w:before="123" w:line="223" w:lineRule="auto"/>
        <w:ind w:left="4419" w:firstLine="2280" w:firstLineChars="600"/>
        <w:rPr>
          <w:rFonts w:ascii="黑体" w:hAnsi="黑体" w:eastAsia="黑体" w:cs="黑体"/>
          <w:sz w:val="38"/>
          <w:szCs w:val="38"/>
        </w:rPr>
      </w:pPr>
    </w:p>
    <w:p w14:paraId="22D8D7B0">
      <w:pPr>
        <w:spacing w:before="40"/>
      </w:pPr>
    </w:p>
    <w:tbl>
      <w:tblPr>
        <w:tblStyle w:val="10"/>
        <w:tblW w:w="14637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6"/>
        <w:gridCol w:w="629"/>
        <w:gridCol w:w="624"/>
        <w:gridCol w:w="1358"/>
        <w:gridCol w:w="1057"/>
        <w:gridCol w:w="1171"/>
        <w:gridCol w:w="3350"/>
        <w:gridCol w:w="2183"/>
        <w:gridCol w:w="875"/>
        <w:gridCol w:w="764"/>
        <w:gridCol w:w="1068"/>
        <w:gridCol w:w="654"/>
        <w:gridCol w:w="618"/>
      </w:tblGrid>
      <w:tr w14:paraId="0A10BE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4" w:hRule="atLeast"/>
        </w:trPr>
        <w:tc>
          <w:tcPr>
            <w:tcW w:w="286" w:type="dxa"/>
            <w:vMerge w:val="restart"/>
            <w:tcBorders>
              <w:bottom w:val="nil"/>
            </w:tcBorders>
            <w:vAlign w:val="center"/>
          </w:tcPr>
          <w:p w14:paraId="7A9FEE74">
            <w:pPr>
              <w:spacing w:before="46" w:line="229" w:lineRule="auto"/>
              <w:jc w:val="center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b/>
                <w:bCs/>
                <w:spacing w:val="6"/>
                <w:sz w:val="21"/>
                <w:szCs w:val="21"/>
              </w:rPr>
              <w:t>序号</w:t>
            </w:r>
          </w:p>
        </w:tc>
        <w:tc>
          <w:tcPr>
            <w:tcW w:w="629" w:type="dxa"/>
            <w:vMerge w:val="restart"/>
            <w:tcBorders>
              <w:bottom w:val="nil"/>
            </w:tcBorders>
            <w:vAlign w:val="center"/>
          </w:tcPr>
          <w:p w14:paraId="74F28152">
            <w:pPr>
              <w:spacing w:before="45" w:line="235" w:lineRule="auto"/>
              <w:ind w:right="65"/>
              <w:jc w:val="center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b/>
                <w:bCs/>
                <w:spacing w:val="4"/>
                <w:sz w:val="21"/>
                <w:szCs w:val="21"/>
              </w:rPr>
              <w:t>市（地、</w:t>
            </w:r>
            <w:r>
              <w:rPr>
                <w:rFonts w:ascii="仿宋" w:hAnsi="仿宋" w:eastAsia="仿宋" w:cs="仿宋"/>
                <w:sz w:val="21"/>
                <w:szCs w:val="21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4"/>
                <w:sz w:val="21"/>
                <w:szCs w:val="21"/>
              </w:rPr>
              <w:t>州、盟）</w:t>
            </w:r>
          </w:p>
        </w:tc>
        <w:tc>
          <w:tcPr>
            <w:tcW w:w="624" w:type="dxa"/>
            <w:vMerge w:val="restart"/>
            <w:tcBorders>
              <w:bottom w:val="nil"/>
            </w:tcBorders>
            <w:vAlign w:val="center"/>
          </w:tcPr>
          <w:p w14:paraId="3733E5B0">
            <w:pPr>
              <w:spacing w:before="45" w:line="229" w:lineRule="auto"/>
              <w:jc w:val="center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b/>
                <w:bCs/>
                <w:spacing w:val="7"/>
                <w:sz w:val="21"/>
                <w:szCs w:val="21"/>
              </w:rPr>
              <w:t>县（县级</w:t>
            </w:r>
          </w:p>
          <w:p w14:paraId="09087748">
            <w:pPr>
              <w:spacing w:before="9" w:line="236" w:lineRule="auto"/>
              <w:ind w:left="196" w:right="68" w:hanging="146"/>
              <w:jc w:val="center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b/>
                <w:bCs/>
                <w:spacing w:val="-12"/>
                <w:sz w:val="21"/>
                <w:szCs w:val="21"/>
              </w:rPr>
              <w:t>市、</w:t>
            </w:r>
            <w:r>
              <w:rPr>
                <w:rFonts w:ascii="仿宋" w:hAnsi="仿宋" w:eastAsia="仿宋" w:cs="仿宋"/>
                <w:spacing w:val="-31"/>
                <w:sz w:val="21"/>
                <w:szCs w:val="21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12"/>
                <w:sz w:val="21"/>
                <w:szCs w:val="21"/>
              </w:rPr>
              <w:t>区、</w:t>
            </w:r>
            <w:r>
              <w:rPr>
                <w:rFonts w:ascii="仿宋" w:hAnsi="仿宋" w:eastAsia="仿宋" w:cs="仿宋"/>
                <w:sz w:val="21"/>
                <w:szCs w:val="21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10"/>
                <w:sz w:val="21"/>
                <w:szCs w:val="21"/>
              </w:rPr>
              <w:t>旗）</w:t>
            </w:r>
          </w:p>
        </w:tc>
        <w:tc>
          <w:tcPr>
            <w:tcW w:w="11826" w:type="dxa"/>
            <w:gridSpan w:val="8"/>
            <w:vAlign w:val="center"/>
          </w:tcPr>
          <w:p w14:paraId="54E430AA">
            <w:pPr>
              <w:spacing w:before="187" w:line="229" w:lineRule="auto"/>
              <w:jc w:val="center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b/>
                <w:bCs/>
                <w:spacing w:val="8"/>
                <w:sz w:val="21"/>
                <w:szCs w:val="21"/>
              </w:rPr>
              <w:t>支持项目建设情况</w:t>
            </w:r>
          </w:p>
        </w:tc>
        <w:tc>
          <w:tcPr>
            <w:tcW w:w="1272" w:type="dxa"/>
            <w:gridSpan w:val="2"/>
            <w:vAlign w:val="top"/>
          </w:tcPr>
          <w:p w14:paraId="7EB78F54">
            <w:pPr>
              <w:spacing w:before="187" w:line="229" w:lineRule="auto"/>
              <w:jc w:val="center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b/>
                <w:bCs/>
                <w:spacing w:val="7"/>
                <w:sz w:val="21"/>
                <w:szCs w:val="21"/>
              </w:rPr>
              <w:t>项目资金情况</w:t>
            </w:r>
          </w:p>
        </w:tc>
      </w:tr>
      <w:tr w14:paraId="2B223F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8" w:hRule="atLeast"/>
        </w:trPr>
        <w:tc>
          <w:tcPr>
            <w:tcW w:w="286" w:type="dxa"/>
            <w:vMerge w:val="continue"/>
            <w:tcBorders>
              <w:top w:val="nil"/>
            </w:tcBorders>
            <w:vAlign w:val="top"/>
          </w:tcPr>
          <w:p w14:paraId="69BA8E31">
            <w:pPr>
              <w:rPr>
                <w:rFonts w:ascii="Arial"/>
                <w:sz w:val="21"/>
                <w:szCs w:val="21"/>
              </w:rPr>
            </w:pPr>
          </w:p>
        </w:tc>
        <w:tc>
          <w:tcPr>
            <w:tcW w:w="629" w:type="dxa"/>
            <w:vMerge w:val="continue"/>
            <w:tcBorders>
              <w:top w:val="nil"/>
            </w:tcBorders>
            <w:vAlign w:val="top"/>
          </w:tcPr>
          <w:p w14:paraId="22AE713C">
            <w:pPr>
              <w:rPr>
                <w:rFonts w:ascii="Arial"/>
                <w:sz w:val="21"/>
                <w:szCs w:val="21"/>
              </w:rPr>
            </w:pPr>
          </w:p>
        </w:tc>
        <w:tc>
          <w:tcPr>
            <w:tcW w:w="624" w:type="dxa"/>
            <w:vMerge w:val="continue"/>
            <w:tcBorders>
              <w:top w:val="nil"/>
            </w:tcBorders>
            <w:vAlign w:val="top"/>
          </w:tcPr>
          <w:p w14:paraId="11DDEA6F">
            <w:pPr>
              <w:rPr>
                <w:rFonts w:ascii="Arial"/>
                <w:sz w:val="21"/>
                <w:szCs w:val="21"/>
              </w:rPr>
            </w:pPr>
          </w:p>
        </w:tc>
        <w:tc>
          <w:tcPr>
            <w:tcW w:w="1358" w:type="dxa"/>
            <w:vAlign w:val="center"/>
          </w:tcPr>
          <w:p w14:paraId="791C2FC6">
            <w:pPr>
              <w:spacing w:before="45" w:line="227" w:lineRule="auto"/>
              <w:jc w:val="center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b/>
                <w:bCs/>
                <w:spacing w:val="7"/>
                <w:sz w:val="21"/>
                <w:szCs w:val="21"/>
              </w:rPr>
              <w:t>支持项目全称</w:t>
            </w:r>
          </w:p>
        </w:tc>
        <w:tc>
          <w:tcPr>
            <w:tcW w:w="1057" w:type="dxa"/>
            <w:vAlign w:val="center"/>
          </w:tcPr>
          <w:p w14:paraId="4D52EFD4">
            <w:pPr>
              <w:spacing w:before="46" w:line="229" w:lineRule="auto"/>
              <w:jc w:val="center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b/>
                <w:bCs/>
                <w:spacing w:val="6"/>
                <w:sz w:val="21"/>
                <w:szCs w:val="21"/>
              </w:rPr>
              <w:t>支持内容</w:t>
            </w:r>
          </w:p>
        </w:tc>
        <w:tc>
          <w:tcPr>
            <w:tcW w:w="1171" w:type="dxa"/>
            <w:vAlign w:val="center"/>
          </w:tcPr>
          <w:p w14:paraId="7BF74E8A">
            <w:pPr>
              <w:spacing w:before="46" w:line="229" w:lineRule="auto"/>
              <w:jc w:val="center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b/>
                <w:bCs/>
                <w:spacing w:val="6"/>
                <w:sz w:val="21"/>
                <w:szCs w:val="21"/>
              </w:rPr>
              <w:t>支持方向</w:t>
            </w:r>
          </w:p>
        </w:tc>
        <w:tc>
          <w:tcPr>
            <w:tcW w:w="3350" w:type="dxa"/>
            <w:vAlign w:val="center"/>
          </w:tcPr>
          <w:p w14:paraId="3CD24F92">
            <w:pPr>
              <w:spacing w:before="46" w:line="229" w:lineRule="auto"/>
              <w:jc w:val="center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b/>
                <w:bCs/>
                <w:spacing w:val="7"/>
                <w:sz w:val="21"/>
                <w:szCs w:val="21"/>
              </w:rPr>
              <w:t>建设内容</w:t>
            </w:r>
          </w:p>
        </w:tc>
        <w:tc>
          <w:tcPr>
            <w:tcW w:w="2183" w:type="dxa"/>
            <w:vAlign w:val="center"/>
          </w:tcPr>
          <w:p w14:paraId="0B8248C3">
            <w:pPr>
              <w:spacing w:before="45" w:line="228" w:lineRule="auto"/>
              <w:jc w:val="center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b/>
                <w:bCs/>
                <w:spacing w:val="5"/>
                <w:sz w:val="21"/>
                <w:szCs w:val="21"/>
              </w:rPr>
              <w:t>实现功能</w:t>
            </w:r>
          </w:p>
        </w:tc>
        <w:tc>
          <w:tcPr>
            <w:tcW w:w="875" w:type="dxa"/>
            <w:vAlign w:val="center"/>
          </w:tcPr>
          <w:p w14:paraId="4D570B1B">
            <w:pPr>
              <w:spacing w:before="45" w:line="229" w:lineRule="auto"/>
              <w:jc w:val="center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b/>
                <w:bCs/>
                <w:spacing w:val="7"/>
                <w:sz w:val="21"/>
                <w:szCs w:val="21"/>
              </w:rPr>
              <w:t>建设周期</w:t>
            </w:r>
          </w:p>
        </w:tc>
        <w:tc>
          <w:tcPr>
            <w:tcW w:w="764" w:type="dxa"/>
            <w:vAlign w:val="center"/>
          </w:tcPr>
          <w:p w14:paraId="200AB9E9">
            <w:pPr>
              <w:spacing w:before="45" w:line="229" w:lineRule="auto"/>
              <w:jc w:val="center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b/>
                <w:bCs/>
                <w:spacing w:val="7"/>
                <w:sz w:val="21"/>
                <w:szCs w:val="21"/>
              </w:rPr>
              <w:t>建设进度</w:t>
            </w:r>
          </w:p>
        </w:tc>
        <w:tc>
          <w:tcPr>
            <w:tcW w:w="1068" w:type="dxa"/>
            <w:vAlign w:val="center"/>
          </w:tcPr>
          <w:p w14:paraId="568BB3D9">
            <w:pPr>
              <w:spacing w:before="45" w:line="234" w:lineRule="auto"/>
              <w:ind w:right="67"/>
              <w:jc w:val="center"/>
              <w:rPr>
                <w:rFonts w:ascii="仿宋" w:hAnsi="仿宋" w:eastAsia="仿宋" w:cs="仿宋"/>
                <w:b/>
                <w:bCs/>
                <w:spacing w:val="4"/>
                <w:sz w:val="21"/>
                <w:szCs w:val="21"/>
              </w:rPr>
            </w:pPr>
            <w:r>
              <w:rPr>
                <w:rFonts w:ascii="仿宋" w:hAnsi="仿宋" w:eastAsia="仿宋" w:cs="仿宋"/>
                <w:b/>
                <w:bCs/>
                <w:spacing w:val="6"/>
                <w:sz w:val="21"/>
                <w:szCs w:val="21"/>
              </w:rPr>
              <w:t>承办企</w:t>
            </w:r>
            <w:r>
              <w:rPr>
                <w:rFonts w:ascii="仿宋" w:hAnsi="仿宋" w:eastAsia="仿宋" w:cs="仿宋"/>
                <w:b/>
                <w:bCs/>
                <w:spacing w:val="4"/>
                <w:sz w:val="21"/>
                <w:szCs w:val="21"/>
              </w:rPr>
              <w:t>业</w:t>
            </w:r>
          </w:p>
          <w:p w14:paraId="482E1587">
            <w:pPr>
              <w:spacing w:before="45" w:line="234" w:lineRule="auto"/>
              <w:ind w:right="67"/>
              <w:jc w:val="center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b/>
                <w:bCs/>
                <w:spacing w:val="4"/>
                <w:sz w:val="21"/>
                <w:szCs w:val="21"/>
              </w:rPr>
              <w:t>全称</w:t>
            </w:r>
          </w:p>
        </w:tc>
        <w:tc>
          <w:tcPr>
            <w:tcW w:w="654" w:type="dxa"/>
            <w:vAlign w:val="center"/>
          </w:tcPr>
          <w:p w14:paraId="331AF75F">
            <w:pPr>
              <w:spacing w:before="45" w:line="235" w:lineRule="auto"/>
              <w:ind w:right="67"/>
              <w:jc w:val="center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b/>
                <w:bCs/>
                <w:spacing w:val="3"/>
                <w:sz w:val="21"/>
                <w:szCs w:val="21"/>
              </w:rPr>
              <w:t>总投资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1"/>
                <w:szCs w:val="21"/>
              </w:rPr>
              <w:t>额</w:t>
            </w:r>
          </w:p>
          <w:p w14:paraId="323573D7">
            <w:pPr>
              <w:spacing w:before="45" w:line="230" w:lineRule="auto"/>
              <w:jc w:val="center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b/>
                <w:bCs/>
                <w:spacing w:val="-3"/>
                <w:sz w:val="21"/>
                <w:szCs w:val="21"/>
              </w:rPr>
              <w:t>(万元)</w:t>
            </w:r>
          </w:p>
        </w:tc>
        <w:tc>
          <w:tcPr>
            <w:tcW w:w="618" w:type="dxa"/>
            <w:vAlign w:val="center"/>
          </w:tcPr>
          <w:p w14:paraId="3E7E83E9">
            <w:pPr>
              <w:spacing w:before="45" w:line="234" w:lineRule="auto"/>
              <w:ind w:right="67"/>
              <w:jc w:val="center"/>
              <w:rPr>
                <w:rFonts w:ascii="仿宋" w:hAnsi="仿宋" w:eastAsia="仿宋" w:cs="仿宋"/>
                <w:b/>
                <w:bCs/>
                <w:spacing w:val="6"/>
                <w:sz w:val="21"/>
                <w:szCs w:val="21"/>
              </w:rPr>
            </w:pPr>
            <w:r>
              <w:rPr>
                <w:rFonts w:ascii="仿宋" w:hAnsi="仿宋" w:eastAsia="仿宋" w:cs="仿宋"/>
                <w:b/>
                <w:bCs/>
                <w:spacing w:val="6"/>
                <w:sz w:val="21"/>
                <w:szCs w:val="21"/>
              </w:rPr>
              <w:t>中央财政资金支持拟金额</w:t>
            </w:r>
          </w:p>
          <w:p w14:paraId="0BAA5EF4">
            <w:pPr>
              <w:spacing w:before="45" w:line="234" w:lineRule="auto"/>
              <w:ind w:right="67"/>
              <w:jc w:val="center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b/>
                <w:bCs/>
                <w:spacing w:val="6"/>
                <w:sz w:val="21"/>
                <w:szCs w:val="21"/>
              </w:rPr>
              <w:t>(万元)</w:t>
            </w:r>
          </w:p>
        </w:tc>
      </w:tr>
      <w:tr w14:paraId="653517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4" w:hRule="atLeast"/>
        </w:trPr>
        <w:tc>
          <w:tcPr>
            <w:tcW w:w="286" w:type="dxa"/>
            <w:vAlign w:val="top"/>
          </w:tcPr>
          <w:p w14:paraId="629F0B00">
            <w:pPr>
              <w:spacing w:line="298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</w:rPr>
            </w:pPr>
          </w:p>
          <w:p w14:paraId="1E52FA63">
            <w:pPr>
              <w:spacing w:line="298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</w:rPr>
            </w:pPr>
          </w:p>
          <w:p w14:paraId="34AAB31A">
            <w:pPr>
              <w:pStyle w:val="11"/>
              <w:spacing w:before="45" w:line="233" w:lineRule="auto"/>
              <w:ind w:left="149" w:leftChars="0"/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629" w:type="dxa"/>
            <w:vAlign w:val="center"/>
          </w:tcPr>
          <w:p w14:paraId="59DD2288">
            <w:pPr>
              <w:pStyle w:val="11"/>
              <w:spacing w:before="45" w:line="232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lang w:val="en-US" w:eastAsia="zh-CN" w:bidi="ar-SA"/>
              </w:rPr>
              <w:t>三门峡市</w:t>
            </w:r>
          </w:p>
        </w:tc>
        <w:tc>
          <w:tcPr>
            <w:tcW w:w="624" w:type="dxa"/>
            <w:vAlign w:val="center"/>
          </w:tcPr>
          <w:p w14:paraId="45B30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卢氏县</w:t>
            </w:r>
          </w:p>
        </w:tc>
        <w:tc>
          <w:tcPr>
            <w:tcW w:w="1358" w:type="dxa"/>
            <w:vAlign w:val="center"/>
          </w:tcPr>
          <w:p w14:paraId="48406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莘元商贸有限公司仓配中心升级改造项目三期</w:t>
            </w:r>
          </w:p>
        </w:tc>
        <w:tc>
          <w:tcPr>
            <w:tcW w:w="1057" w:type="dxa"/>
            <w:vAlign w:val="center"/>
          </w:tcPr>
          <w:p w14:paraId="5B06D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6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完善县域三级物流配送体系</w:t>
            </w:r>
          </w:p>
        </w:tc>
        <w:tc>
          <w:tcPr>
            <w:tcW w:w="1171" w:type="dxa"/>
            <w:vAlign w:val="center"/>
          </w:tcPr>
          <w:p w14:paraId="7C8AD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6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完善县域三级物流配送体系</w:t>
            </w:r>
          </w:p>
        </w:tc>
        <w:tc>
          <w:tcPr>
            <w:tcW w:w="3350" w:type="dxa"/>
            <w:vAlign w:val="center"/>
          </w:tcPr>
          <w:p w14:paraId="38FB4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购置纯电箱式货车一辆、建设冷冻储存库一个，建设冷藏储存库一个</w:t>
            </w:r>
          </w:p>
        </w:tc>
        <w:tc>
          <w:tcPr>
            <w:tcW w:w="2183" w:type="dxa"/>
            <w:vAlign w:val="center"/>
          </w:tcPr>
          <w:p w14:paraId="20ABF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聚焦食用农产品、鲜肉、冻品重点品类，补齐仓储保鲜、冷链运输短板，健全从产地到终端的商贸物流配送体系，降损耗、提效率、保品质，保障生鲜产品稳定供给。</w:t>
            </w:r>
          </w:p>
        </w:tc>
        <w:tc>
          <w:tcPr>
            <w:tcW w:w="875" w:type="dxa"/>
            <w:vAlign w:val="center"/>
          </w:tcPr>
          <w:p w14:paraId="643DD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4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2026年5月--2026年10月</w:t>
            </w:r>
          </w:p>
        </w:tc>
        <w:tc>
          <w:tcPr>
            <w:tcW w:w="764" w:type="dxa"/>
            <w:vAlign w:val="center"/>
          </w:tcPr>
          <w:p w14:paraId="22CA1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4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已完成</w:t>
            </w:r>
          </w:p>
        </w:tc>
        <w:tc>
          <w:tcPr>
            <w:tcW w:w="1068" w:type="dxa"/>
            <w:vAlign w:val="center"/>
          </w:tcPr>
          <w:p w14:paraId="5935D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三门峡莘元商贸有限公司</w:t>
            </w:r>
          </w:p>
        </w:tc>
        <w:tc>
          <w:tcPr>
            <w:tcW w:w="654" w:type="dxa"/>
            <w:vAlign w:val="center"/>
          </w:tcPr>
          <w:p w14:paraId="0BAEC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18.37</w:t>
            </w:r>
          </w:p>
        </w:tc>
        <w:tc>
          <w:tcPr>
            <w:tcW w:w="618" w:type="dxa"/>
            <w:vAlign w:val="center"/>
          </w:tcPr>
          <w:p w14:paraId="44C30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5.51</w:t>
            </w:r>
          </w:p>
        </w:tc>
      </w:tr>
      <w:tr w14:paraId="32AD14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3" w:hRule="atLeast"/>
        </w:trPr>
        <w:tc>
          <w:tcPr>
            <w:tcW w:w="13365" w:type="dxa"/>
            <w:gridSpan w:val="11"/>
            <w:vAlign w:val="center"/>
          </w:tcPr>
          <w:p w14:paraId="63FE01A0">
            <w:pPr>
              <w:pStyle w:val="11"/>
              <w:spacing w:before="45" w:line="234" w:lineRule="auto"/>
              <w:jc w:val="center"/>
              <w:rPr>
                <w:rFonts w:hint="default" w:ascii="仿宋" w:hAnsi="仿宋" w:eastAsia="仿宋" w:cs="仿宋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lang w:val="en-US" w:eastAsia="zh-CN" w:bidi="ar-SA"/>
              </w:rPr>
              <w:t>合计</w:t>
            </w:r>
          </w:p>
        </w:tc>
        <w:tc>
          <w:tcPr>
            <w:tcW w:w="654" w:type="dxa"/>
            <w:vAlign w:val="center"/>
          </w:tcPr>
          <w:p w14:paraId="48F20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18.37</w:t>
            </w:r>
          </w:p>
        </w:tc>
        <w:tc>
          <w:tcPr>
            <w:tcW w:w="618" w:type="dxa"/>
            <w:vAlign w:val="center"/>
          </w:tcPr>
          <w:p w14:paraId="41043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5.51</w:t>
            </w:r>
            <w:bookmarkStart w:id="0" w:name="_GoBack"/>
            <w:bookmarkEnd w:id="0"/>
          </w:p>
        </w:tc>
      </w:tr>
    </w:tbl>
    <w:p w14:paraId="42525CED">
      <w:pPr>
        <w:jc w:val="center"/>
        <w:rPr>
          <w:rFonts w:hint="eastAsia" w:ascii="仿宋" w:hAnsi="仿宋" w:eastAsia="仿宋" w:cs="仿宋"/>
          <w:b w:val="0"/>
          <w:bCs w:val="0"/>
          <w:color w:val="auto"/>
          <w:sz w:val="21"/>
          <w:szCs w:val="21"/>
        </w:rPr>
      </w:pPr>
    </w:p>
    <w:sectPr>
      <w:footerReference r:id="rId5" w:type="default"/>
      <w:pgSz w:w="16838" w:h="11906" w:orient="landscape"/>
      <w:pgMar w:top="1134" w:right="1134" w:bottom="1134" w:left="1134" w:header="0" w:footer="0" w:gutter="0"/>
      <w:pgNumType w:fmt="decimal"/>
      <w:cols w:space="0" w:num="1"/>
      <w:rtlGutter w:val="0"/>
      <w:docGrid w:linePitch="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DC0AA1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134122F"/>
    <w:rsid w:val="013B2B96"/>
    <w:rsid w:val="02016D46"/>
    <w:rsid w:val="02115339"/>
    <w:rsid w:val="022B285D"/>
    <w:rsid w:val="02573F7D"/>
    <w:rsid w:val="044C0C16"/>
    <w:rsid w:val="04CA4709"/>
    <w:rsid w:val="04D23811"/>
    <w:rsid w:val="05203B59"/>
    <w:rsid w:val="05A9002C"/>
    <w:rsid w:val="06C54CB0"/>
    <w:rsid w:val="06F23CF7"/>
    <w:rsid w:val="07E51AAD"/>
    <w:rsid w:val="07FE462A"/>
    <w:rsid w:val="08251EAA"/>
    <w:rsid w:val="087251E8"/>
    <w:rsid w:val="090221EB"/>
    <w:rsid w:val="094F46EF"/>
    <w:rsid w:val="094F4C0D"/>
    <w:rsid w:val="09F935EE"/>
    <w:rsid w:val="0A0F696E"/>
    <w:rsid w:val="0A2A19F9"/>
    <w:rsid w:val="0A9D041D"/>
    <w:rsid w:val="0B6251C3"/>
    <w:rsid w:val="0C0D2B8E"/>
    <w:rsid w:val="0C9C2E88"/>
    <w:rsid w:val="0D061AC9"/>
    <w:rsid w:val="0D11080A"/>
    <w:rsid w:val="0E740827"/>
    <w:rsid w:val="0F19203C"/>
    <w:rsid w:val="0F5F3E9F"/>
    <w:rsid w:val="0FC1695C"/>
    <w:rsid w:val="11B00A36"/>
    <w:rsid w:val="12EB3CF0"/>
    <w:rsid w:val="12F64B6E"/>
    <w:rsid w:val="133B7324"/>
    <w:rsid w:val="135D4D90"/>
    <w:rsid w:val="142423F0"/>
    <w:rsid w:val="14997EA7"/>
    <w:rsid w:val="14A322BA"/>
    <w:rsid w:val="16244EE0"/>
    <w:rsid w:val="163C4F8E"/>
    <w:rsid w:val="174662BC"/>
    <w:rsid w:val="17822B60"/>
    <w:rsid w:val="19126E1A"/>
    <w:rsid w:val="19711E93"/>
    <w:rsid w:val="19B77F9F"/>
    <w:rsid w:val="1A2A15A2"/>
    <w:rsid w:val="1A6B6976"/>
    <w:rsid w:val="1A6F7DB7"/>
    <w:rsid w:val="1B58214C"/>
    <w:rsid w:val="1BCD48DA"/>
    <w:rsid w:val="1CAC629E"/>
    <w:rsid w:val="1CCE090A"/>
    <w:rsid w:val="1D682B0D"/>
    <w:rsid w:val="1E256308"/>
    <w:rsid w:val="1E3F7335"/>
    <w:rsid w:val="1E627229"/>
    <w:rsid w:val="1EBD0C36"/>
    <w:rsid w:val="1EFA3C38"/>
    <w:rsid w:val="1F470500"/>
    <w:rsid w:val="1F9E45C4"/>
    <w:rsid w:val="1FEA5A5B"/>
    <w:rsid w:val="20270437"/>
    <w:rsid w:val="20A35C0A"/>
    <w:rsid w:val="21000F39"/>
    <w:rsid w:val="22723AE6"/>
    <w:rsid w:val="228F28EA"/>
    <w:rsid w:val="22EF5BD8"/>
    <w:rsid w:val="23850595"/>
    <w:rsid w:val="24415E66"/>
    <w:rsid w:val="24B108F5"/>
    <w:rsid w:val="268149DA"/>
    <w:rsid w:val="269163DF"/>
    <w:rsid w:val="27901611"/>
    <w:rsid w:val="289E73E3"/>
    <w:rsid w:val="28C50E13"/>
    <w:rsid w:val="28EC1E5F"/>
    <w:rsid w:val="291753F8"/>
    <w:rsid w:val="29485986"/>
    <w:rsid w:val="2A1045DC"/>
    <w:rsid w:val="2A44220C"/>
    <w:rsid w:val="2A855E19"/>
    <w:rsid w:val="2AFB1F65"/>
    <w:rsid w:val="2AFE23BA"/>
    <w:rsid w:val="2B4B2AD9"/>
    <w:rsid w:val="2B6C5576"/>
    <w:rsid w:val="2C624BCB"/>
    <w:rsid w:val="2D0B5263"/>
    <w:rsid w:val="2D0F6847"/>
    <w:rsid w:val="2D412A32"/>
    <w:rsid w:val="2E1B7734"/>
    <w:rsid w:val="2E461D92"/>
    <w:rsid w:val="2ECE02F6"/>
    <w:rsid w:val="2ECE479A"/>
    <w:rsid w:val="2EDE3D23"/>
    <w:rsid w:val="2F546A4D"/>
    <w:rsid w:val="2FD302BA"/>
    <w:rsid w:val="309612E7"/>
    <w:rsid w:val="310A1954"/>
    <w:rsid w:val="31592A40"/>
    <w:rsid w:val="3175714F"/>
    <w:rsid w:val="31A6555A"/>
    <w:rsid w:val="31B163D9"/>
    <w:rsid w:val="32827D75"/>
    <w:rsid w:val="32E33E0A"/>
    <w:rsid w:val="343E007F"/>
    <w:rsid w:val="347D3B7A"/>
    <w:rsid w:val="34E02C11"/>
    <w:rsid w:val="35D408E8"/>
    <w:rsid w:val="36774B1E"/>
    <w:rsid w:val="36AE3BB7"/>
    <w:rsid w:val="37027115"/>
    <w:rsid w:val="383F31DD"/>
    <w:rsid w:val="38C962D6"/>
    <w:rsid w:val="39021308"/>
    <w:rsid w:val="393A4F06"/>
    <w:rsid w:val="395E7EA0"/>
    <w:rsid w:val="39F74BA5"/>
    <w:rsid w:val="3A1E5C78"/>
    <w:rsid w:val="3A3B7A20"/>
    <w:rsid w:val="3A557B1D"/>
    <w:rsid w:val="3C177780"/>
    <w:rsid w:val="3C634773"/>
    <w:rsid w:val="3D3A727D"/>
    <w:rsid w:val="3D475E43"/>
    <w:rsid w:val="3D6C7658"/>
    <w:rsid w:val="3DA2751D"/>
    <w:rsid w:val="3DBE5491"/>
    <w:rsid w:val="3E6E3B45"/>
    <w:rsid w:val="3E88226F"/>
    <w:rsid w:val="3F542A99"/>
    <w:rsid w:val="3FC37069"/>
    <w:rsid w:val="3FFB2F15"/>
    <w:rsid w:val="40247A79"/>
    <w:rsid w:val="406125C6"/>
    <w:rsid w:val="40683800"/>
    <w:rsid w:val="40904F2F"/>
    <w:rsid w:val="40924768"/>
    <w:rsid w:val="4134747D"/>
    <w:rsid w:val="41440C19"/>
    <w:rsid w:val="41AE6491"/>
    <w:rsid w:val="427F3327"/>
    <w:rsid w:val="42C40CC0"/>
    <w:rsid w:val="42E5528F"/>
    <w:rsid w:val="434A3F97"/>
    <w:rsid w:val="43AC2EA4"/>
    <w:rsid w:val="43C46A0E"/>
    <w:rsid w:val="43D12BC1"/>
    <w:rsid w:val="44456DD7"/>
    <w:rsid w:val="445157F9"/>
    <w:rsid w:val="45CC3389"/>
    <w:rsid w:val="460348D1"/>
    <w:rsid w:val="4729480B"/>
    <w:rsid w:val="47613FA5"/>
    <w:rsid w:val="47811F51"/>
    <w:rsid w:val="487D6BBD"/>
    <w:rsid w:val="49EF0A9A"/>
    <w:rsid w:val="49F7464F"/>
    <w:rsid w:val="4BB75A3E"/>
    <w:rsid w:val="4BCB5E91"/>
    <w:rsid w:val="4C207F8B"/>
    <w:rsid w:val="4C7C718B"/>
    <w:rsid w:val="4CEE1542"/>
    <w:rsid w:val="4D6E35F6"/>
    <w:rsid w:val="4EFD50D2"/>
    <w:rsid w:val="4F4C70DC"/>
    <w:rsid w:val="4F953D43"/>
    <w:rsid w:val="4FAF111C"/>
    <w:rsid w:val="519136D9"/>
    <w:rsid w:val="51AE5B13"/>
    <w:rsid w:val="51B7313F"/>
    <w:rsid w:val="51FE2294"/>
    <w:rsid w:val="52B55050"/>
    <w:rsid w:val="53742FD7"/>
    <w:rsid w:val="53BE0823"/>
    <w:rsid w:val="542C2BBF"/>
    <w:rsid w:val="54B41BB8"/>
    <w:rsid w:val="54FC70BB"/>
    <w:rsid w:val="55175CA3"/>
    <w:rsid w:val="5689497F"/>
    <w:rsid w:val="56F5603A"/>
    <w:rsid w:val="57B817BE"/>
    <w:rsid w:val="57C2283E"/>
    <w:rsid w:val="57CF2865"/>
    <w:rsid w:val="58AD2046"/>
    <w:rsid w:val="58BE1EE9"/>
    <w:rsid w:val="59D25A65"/>
    <w:rsid w:val="59F04FB8"/>
    <w:rsid w:val="5A77FBD7"/>
    <w:rsid w:val="5A815530"/>
    <w:rsid w:val="5C6B53C9"/>
    <w:rsid w:val="5CA40764"/>
    <w:rsid w:val="5CBF10FA"/>
    <w:rsid w:val="5D521F6E"/>
    <w:rsid w:val="5E374B8D"/>
    <w:rsid w:val="5E79177D"/>
    <w:rsid w:val="5EB84053"/>
    <w:rsid w:val="5F610B8F"/>
    <w:rsid w:val="5FAA6092"/>
    <w:rsid w:val="611920E5"/>
    <w:rsid w:val="61300818"/>
    <w:rsid w:val="6151253D"/>
    <w:rsid w:val="61AD294E"/>
    <w:rsid w:val="62105ED3"/>
    <w:rsid w:val="632919C3"/>
    <w:rsid w:val="636775B6"/>
    <w:rsid w:val="63E36016"/>
    <w:rsid w:val="63E94CAF"/>
    <w:rsid w:val="642F46FA"/>
    <w:rsid w:val="647E189B"/>
    <w:rsid w:val="64AB2CB8"/>
    <w:rsid w:val="64B96D23"/>
    <w:rsid w:val="64C51278"/>
    <w:rsid w:val="64D8544F"/>
    <w:rsid w:val="650D12BE"/>
    <w:rsid w:val="65A048AC"/>
    <w:rsid w:val="669971F6"/>
    <w:rsid w:val="66E15032"/>
    <w:rsid w:val="66E610DD"/>
    <w:rsid w:val="67113452"/>
    <w:rsid w:val="685F7C35"/>
    <w:rsid w:val="68FA680B"/>
    <w:rsid w:val="698D24A1"/>
    <w:rsid w:val="6A933BC6"/>
    <w:rsid w:val="6AC67AF8"/>
    <w:rsid w:val="6B282560"/>
    <w:rsid w:val="6B910106"/>
    <w:rsid w:val="6C79647F"/>
    <w:rsid w:val="6CED1359"/>
    <w:rsid w:val="6D160D82"/>
    <w:rsid w:val="6F1277AF"/>
    <w:rsid w:val="6F865AA7"/>
    <w:rsid w:val="6F9B77A5"/>
    <w:rsid w:val="7060279C"/>
    <w:rsid w:val="70A72179"/>
    <w:rsid w:val="70E80619"/>
    <w:rsid w:val="72557738"/>
    <w:rsid w:val="73B274A0"/>
    <w:rsid w:val="74D6355D"/>
    <w:rsid w:val="74F7526D"/>
    <w:rsid w:val="750000AA"/>
    <w:rsid w:val="75B17106"/>
    <w:rsid w:val="764566BC"/>
    <w:rsid w:val="77262D98"/>
    <w:rsid w:val="775772DB"/>
    <w:rsid w:val="77A230A3"/>
    <w:rsid w:val="77BE6726"/>
    <w:rsid w:val="780F0A51"/>
    <w:rsid w:val="785E75C1"/>
    <w:rsid w:val="78713799"/>
    <w:rsid w:val="7919798C"/>
    <w:rsid w:val="79A6770F"/>
    <w:rsid w:val="7A4D3D91"/>
    <w:rsid w:val="7AC56F50"/>
    <w:rsid w:val="7B8E6410"/>
    <w:rsid w:val="7BB045D8"/>
    <w:rsid w:val="7C2F7AA5"/>
    <w:rsid w:val="7D8F44D2"/>
    <w:rsid w:val="7DC91981"/>
    <w:rsid w:val="7DE44A0D"/>
    <w:rsid w:val="7DF52776"/>
    <w:rsid w:val="7E116984"/>
    <w:rsid w:val="7E555EB5"/>
    <w:rsid w:val="7F5F07EF"/>
    <w:rsid w:val="7FB32C28"/>
    <w:rsid w:val="7FF65FA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table" w:customStyle="1" w:styleId="1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305</Words>
  <Characters>331</Characters>
  <TotalTime>0</TotalTime>
  <ScaleCrop>false</ScaleCrop>
  <LinksUpToDate>false</LinksUpToDate>
  <CharactersWithSpaces>334</CharactersWithSpaces>
  <Application>WPS Office_12.1.0.28505_F1E327BC-269C-435d-A152-05C5408002CA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2025-03-07T15:03:00Z</dcterms:created>
  <dc:creator>lenovo</dc:creator>
  <cp:lastModifiedBy>WPS_1742546593</cp:lastModifiedBy>
  <cp:lastPrinted>2026-06-23T00:10:00Z</cp:lastPrinted>
  <dcterms:modified xsi:type="dcterms:W3CDTF">2026-09-10T07:32:11Z</dcterms:modified>
  <dc:title>河南省商务法制工作会议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2025-03-07T14:41:22Z</vt:filetime>
  </property>
  <property fmtid="{D5CDD505-2E9C-101B-9397-08002B2CF9AE}" pid="4" name="KSOProductBuildVer">
    <vt:lpwstr>2052-12.1.0.28505</vt:lpwstr>
  </property>
  <property fmtid="{D5CDD505-2E9C-101B-9397-08002B2CF9AE}" pid="5" name="ICV">
    <vt:lpwstr>62D4F01DF0F744908BE2435DFB3579DE_13</vt:lpwstr>
  </property>
  <property fmtid="{D5CDD505-2E9C-101B-9397-08002B2CF9AE}" pid="6" name="KSOTemplateDocerSaveRecord">
    <vt:lpwstr>eyJoZGlkIjoiNDY5MmIwY2UyZDhlNTYxODExNTgwMGEwZjIzMDMyMjIiLCJ1c2VySWQiOiIxNjg4Njg4NjIxIn0=</vt:lpwstr>
  </property>
</Properties>
</file>